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>
        <w:rPr>
          <w:b/>
          <w:sz w:val="28"/>
          <w:szCs w:val="28"/>
          <w:u w:val="single"/>
        </w:rPr>
        <w:t xml:space="preserve">Как проверить налоговые ставки и льготы, указанные в налоговом уведомлении </w:t>
      </w:r>
    </w:p>
    <w:bookmarkEnd w:id="0"/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ставки и льготы устанавливаются нормативными правовыми актами различного уровня: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значения, нормативными правовыми актами представительного органа федеральной территории "Сириус") по месту нахождения объектов недвижимости.  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органы или в контакт-центр ФНС России (тел. 8-800-222-22-22).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97"/>
    <w:rsid w:val="000C1E39"/>
    <w:rsid w:val="000C5C7D"/>
    <w:rsid w:val="003F32FC"/>
    <w:rsid w:val="006E1199"/>
    <w:rsid w:val="00AF456A"/>
    <w:rsid w:val="00C2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73A6D-9F9C-4B9F-81EA-1BBED05F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7D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C5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38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IrinaYurjevna</cp:lastModifiedBy>
  <cp:revision>2</cp:revision>
  <dcterms:created xsi:type="dcterms:W3CDTF">2026-09-28T03:55:00Z</dcterms:created>
  <dcterms:modified xsi:type="dcterms:W3CDTF">2026-09-28T03:55:00Z</dcterms:modified>
</cp:coreProperties>
</file>