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0" w:rsidRDefault="00A33CB5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</w:t>
      </w:r>
      <w:r w:rsidR="002B4A44">
        <w:rPr>
          <w:rFonts w:ascii="Arial" w:hAnsi="Arial" w:cs="Arial"/>
          <w:b/>
          <w:caps/>
          <w:sz w:val="32"/>
          <w:szCs w:val="32"/>
        </w:rPr>
        <w:t>2</w:t>
      </w:r>
      <w:r w:rsidR="009574ED">
        <w:rPr>
          <w:rFonts w:ascii="Arial" w:hAnsi="Arial" w:cs="Arial"/>
          <w:b/>
          <w:caps/>
          <w:sz w:val="32"/>
          <w:szCs w:val="32"/>
        </w:rPr>
        <w:t>.04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 w:rsidR="00AE1DA9">
        <w:rPr>
          <w:rFonts w:ascii="Arial" w:hAnsi="Arial" w:cs="Arial"/>
          <w:b/>
          <w:caps/>
          <w:sz w:val="32"/>
          <w:szCs w:val="32"/>
        </w:rPr>
        <w:t>2</w:t>
      </w:r>
      <w:r w:rsidR="002B4A44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2B4A44">
        <w:rPr>
          <w:rFonts w:ascii="Arial" w:hAnsi="Arial" w:cs="Arial"/>
          <w:b/>
          <w:caps/>
          <w:sz w:val="32"/>
          <w:szCs w:val="32"/>
        </w:rPr>
        <w:t>30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</w:t>
            </w:r>
            <w:r w:rsidR="00A33CB5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1</w:t>
            </w:r>
            <w:r w:rsidR="00A33CB5">
              <w:rPr>
                <w:rFonts w:ascii="Arial" w:hAnsi="Arial" w:cs="Arial"/>
                <w:sz w:val="24"/>
                <w:szCs w:val="24"/>
              </w:rPr>
              <w:t>.04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2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2B4A44">
              <w:rPr>
                <w:rFonts w:ascii="Arial" w:hAnsi="Arial" w:cs="Arial"/>
                <w:sz w:val="24"/>
                <w:szCs w:val="24"/>
              </w:rPr>
              <w:t>309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2B4A44">
              <w:rPr>
                <w:rFonts w:ascii="Arial" w:hAnsi="Arial" w:cs="Arial"/>
                <w:sz w:val="24"/>
                <w:szCs w:val="24"/>
              </w:rPr>
              <w:t xml:space="preserve">30 апреля </w:t>
            </w:r>
            <w:r w:rsidRPr="0047008D">
              <w:rPr>
                <w:rFonts w:ascii="Arial" w:hAnsi="Arial" w:cs="Arial"/>
                <w:sz w:val="24"/>
                <w:szCs w:val="24"/>
              </w:rPr>
              <w:t>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9574ED">
              <w:rPr>
                <w:rFonts w:ascii="Arial" w:hAnsi="Arial" w:cs="Arial"/>
                <w:sz w:val="24"/>
                <w:szCs w:val="24"/>
              </w:rPr>
              <w:t>5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 w:rsidR="002B4A4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апреля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</w:t>
            </w:r>
            <w:r w:rsidR="00AE1DA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2B4A4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Проведение субботников в срок до </w:t>
            </w:r>
            <w:r w:rsidR="00693E0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периода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5.1.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5.3.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Провести в срок до </w:t>
            </w:r>
            <w:r w:rsidR="00B519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</w:t>
            </w:r>
            <w:r w:rsidR="00AE1DA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1.Обеспечить</w:t>
            </w:r>
            <w:proofErr w:type="gram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всего пожароопасного периода 202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3.Организовать</w:t>
            </w:r>
            <w:proofErr w:type="gram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AE1DA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2B4A44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r w:rsidR="00A329C0">
              <w:rPr>
                <w:rFonts w:ascii="Arial" w:hAnsi="Arial" w:cs="Arial"/>
                <w:sz w:val="24"/>
                <w:szCs w:val="24"/>
              </w:rPr>
              <w:t>Буреть</w:t>
            </w:r>
            <w:r w:rsidRPr="0047008D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8.Контроль за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EF7AB0" w:rsidRPr="00B14D4F" w:rsidTr="008B05A5">
        <w:trPr>
          <w:trHeight w:hRule="exact" w:val="342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8B05A5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EF7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pStyle w:val="a3"/>
        <w:rPr>
          <w:rFonts w:ascii="Arial" w:hAnsi="Arial" w:cs="Arial"/>
          <w:sz w:val="24"/>
          <w:szCs w:val="24"/>
        </w:rPr>
        <w:sectPr w:rsidR="00EF7AB0" w:rsidSect="004868C6">
          <w:headerReference w:type="default" r:id="rId7"/>
          <w:pgSz w:w="11909" w:h="16834"/>
          <w:pgMar w:top="1134" w:right="850" w:bottom="851" w:left="1134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A329C0" w:rsidP="002B4A44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B4A44">
              <w:rPr>
                <w:rFonts w:ascii="Courier New" w:hAnsi="Courier New" w:cs="Courier New"/>
              </w:rPr>
              <w:t>2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 w:rsidR="00502571">
              <w:rPr>
                <w:rFonts w:ascii="Courier New" w:hAnsi="Courier New" w:cs="Courier New"/>
              </w:rPr>
              <w:t>4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 w:rsidR="00AE1DA9">
              <w:rPr>
                <w:rFonts w:ascii="Courier New" w:hAnsi="Courier New" w:cs="Courier New"/>
              </w:rPr>
              <w:t>2</w:t>
            </w:r>
            <w:r w:rsidR="002B4A44">
              <w:rPr>
                <w:rFonts w:ascii="Courier New" w:hAnsi="Courier New" w:cs="Courier New"/>
              </w:rPr>
              <w:t>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2B4A44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bookmarkStart w:id="0" w:name="_GoBack"/>
            <w:bookmarkEnd w:id="0"/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2D0AA1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C55676" w:rsidP="00C5567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Серова Светлана Валерьевна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C55676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89501283455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п.Бохан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17" w:rsidRDefault="00C41117">
      <w:pPr>
        <w:spacing w:after="0" w:line="240" w:lineRule="auto"/>
      </w:pPr>
      <w:r>
        <w:separator/>
      </w:r>
    </w:p>
  </w:endnote>
  <w:endnote w:type="continuationSeparator" w:id="0">
    <w:p w:rsidR="00C41117" w:rsidRDefault="00C4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17" w:rsidRDefault="00C41117">
      <w:pPr>
        <w:spacing w:after="0" w:line="240" w:lineRule="auto"/>
      </w:pPr>
      <w:r>
        <w:separator/>
      </w:r>
    </w:p>
  </w:footnote>
  <w:footnote w:type="continuationSeparator" w:id="0">
    <w:p w:rsidR="00C41117" w:rsidRDefault="00C4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DC" w:rsidRDefault="00C41117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80612"/>
    <w:rsid w:val="000A4D75"/>
    <w:rsid w:val="000D4B77"/>
    <w:rsid w:val="00121AB4"/>
    <w:rsid w:val="001C7C51"/>
    <w:rsid w:val="002B4A44"/>
    <w:rsid w:val="002D0AA1"/>
    <w:rsid w:val="0047008D"/>
    <w:rsid w:val="004868C6"/>
    <w:rsid w:val="00502571"/>
    <w:rsid w:val="00543DCE"/>
    <w:rsid w:val="00620EC8"/>
    <w:rsid w:val="00693E0F"/>
    <w:rsid w:val="006A108B"/>
    <w:rsid w:val="006F30B3"/>
    <w:rsid w:val="008B05A5"/>
    <w:rsid w:val="008F5B7A"/>
    <w:rsid w:val="009574ED"/>
    <w:rsid w:val="00961ED3"/>
    <w:rsid w:val="009971E0"/>
    <w:rsid w:val="00A329C0"/>
    <w:rsid w:val="00A33CB5"/>
    <w:rsid w:val="00AE1DA9"/>
    <w:rsid w:val="00B519B7"/>
    <w:rsid w:val="00C41117"/>
    <w:rsid w:val="00C541B2"/>
    <w:rsid w:val="00C55676"/>
    <w:rsid w:val="00E239BB"/>
    <w:rsid w:val="00EF7AB0"/>
    <w:rsid w:val="00F728FD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731"/>
  <w15:docId w15:val="{2C265449-CC10-41E2-89BA-FC041C3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12</cp:revision>
  <cp:lastPrinted>2022-04-22T02:35:00Z</cp:lastPrinted>
  <dcterms:created xsi:type="dcterms:W3CDTF">2017-03-20T04:18:00Z</dcterms:created>
  <dcterms:modified xsi:type="dcterms:W3CDTF">2022-04-22T02:35:00Z</dcterms:modified>
</cp:coreProperties>
</file>