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18.10</w:t>
      </w:r>
      <w:r w:rsidRPr="00F32185">
        <w:rPr>
          <w:rFonts w:ascii="Arial" w:hAnsi="Arial" w:cs="Arial"/>
          <w:b/>
          <w:color w:val="000000"/>
          <w:sz w:val="32"/>
          <w:szCs w:val="32"/>
          <w:lang w:eastAsia="ru-RU"/>
        </w:rPr>
        <w:t>.2022 №</w:t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62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F32185" w:rsidP="005907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ПРОФИЛАКТИКИ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РИСКОВ ПРИЧИНЕНИЯ ВРЕДА (УЩЕРБА) ОХРАНЯЕМЫМ ЗАКОНОМ ЦЕННОСТЯМ ПО МУНИЦИПАЛЬНОМУ КОНТРОЛЮ В СФЕРЕ БЛАГОУСТРОЙСТВА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</w:p>
    <w:bookmarkEnd w:id="0"/>
    <w:p w:rsidR="001A1EDD" w:rsidRPr="00F32185" w:rsidRDefault="001A1EDD" w:rsidP="001A1EDD">
      <w:pPr>
        <w:spacing w:after="0" w:line="28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44Федерального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контроля в сфере благоустройства, Администрация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Опубликовать постановление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 «Об утверждении программы профилактики рисков причинения вреда (ущерба) охраняемым зако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 ценностям по муниципальному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сфере благоустройства на 2022 год» на официальном сайте Администрации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18.10.2022</w:t>
      </w:r>
      <w:r w:rsidRPr="00F32185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62</w:t>
      </w: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F32185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ПРОГРАММА ПРОФИЛАКТИКИ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РИСКОВ ПРИЧИНЕНИЯ ВРЕДА (УЩЕРБА) ОХРАНЯЕМЫМ ЗАКОНОМ ЦЕННОСТЯМ ПО МУНИЦИПАЛЬНОМУ КОНТРОЛЮ В СФЕРЕ БЛАГОУСТРОЙСТВА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2022 ГОД</w:t>
      </w:r>
    </w:p>
    <w:p w:rsidR="001A1EDD" w:rsidRPr="00F32185" w:rsidRDefault="00F32185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1A1EDD" w:rsidRDefault="001A1ED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32185" w:rsidRPr="00F32185" w:rsidRDefault="00F32185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CB03A4" w:rsidP="00CB0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 в соответствии со статьей 44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от 31 июля 2021 г. № 248-ФЗ «О государственном контроле (надзоре) и муниципальном контроле в Российской Федерации»,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контроля в сфере благоустройства (далее - мероприятия по профилактике нарушений), осуществляются должностными лицами (уполномоченными специалистами) на осуществление муниципального контроля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Предметом муниципального контроля является: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области,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в соответствии с Правилами;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исполнение решений, принимаемых по результатам контрольных мероприятий.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Объектами муниципального контроля (далее – объект контроля) являются: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деятельность, действия (бездействие) контролируемых лиц в сфере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благоустройства территории муниципального образования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«Буреть»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Иркутской области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Default="001A1ED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 рисков причинения вреда</w:t>
      </w:r>
    </w:p>
    <w:p w:rsidR="0059077D" w:rsidRPr="00F32185" w:rsidRDefault="0059077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CB03A4" w:rsidP="00CB03A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2.1 </w:t>
      </w:r>
      <w:r w:rsidR="001A1EDD"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Основными целями Программы профилактики являются:</w:t>
      </w:r>
    </w:p>
    <w:p w:rsidR="001A1EDD" w:rsidRPr="00F32185" w:rsidRDefault="001A1EDD" w:rsidP="00CB03A4">
      <w:pPr>
        <w:pStyle w:val="a6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A1EDD" w:rsidRPr="00F32185" w:rsidRDefault="001A1EDD" w:rsidP="00CB03A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1EDD" w:rsidRPr="00F32185" w:rsidRDefault="001A1EDD" w:rsidP="00CB03A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1EDD" w:rsidRPr="00F32185" w:rsidRDefault="00CB03A4" w:rsidP="00CB03A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2.2. </w:t>
      </w:r>
      <w:r w:rsidR="001A1EDD"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информированности и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правосознания субъектов, в отношении которых осуществляется муниципальный контроль в сфере благоустройства;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и устранение причин, факторов и условий, способствующих нарушениям субъектами, в отношении которых осуществляется муниципальный контроль в сфере благоустройства, обязательных требований;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 в сфере благоустройства, обязательных требований.</w:t>
      </w:r>
    </w:p>
    <w:p w:rsidR="001A1EDD" w:rsidRPr="00F32185" w:rsidRDefault="001A1EDD" w:rsidP="00CB03A4">
      <w:pPr>
        <w:spacing w:after="0" w:line="240" w:lineRule="auto"/>
        <w:ind w:left="14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59077D" w:rsidRDefault="001A1EDD" w:rsidP="001A1EDD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07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59077D" w:rsidRPr="00F32185" w:rsidRDefault="0059077D" w:rsidP="001A1EDD">
      <w:pPr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5223"/>
        <w:gridCol w:w="1843"/>
        <w:gridCol w:w="1973"/>
      </w:tblGrid>
      <w:tr w:rsidR="001A1EDD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Срок исполнения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CB03A4" w:rsidRPr="00F32185" w:rsidTr="00CB03A4">
        <w:trPr>
          <w:trHeight w:val="273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</w:t>
            </w: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rPr>
          <w:trHeight w:val="23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Обобщение правоприменительной практики: подготовка доклада с результатами обобщения правоприменительной практики Контрольного органа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До 30 января года, следующего за отчетным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Выдача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 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Консультирование: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1.Инспекторы осуществляют консультирование контролируемых лиц и их представителей: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2) посредством размещения на официальном сайте администрации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2.Письменное консультирование контролируемых лиц и их представителей осуществляется по следующим вопросам: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1) порядок обжалования решений Контрольного органа;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2) </w:t>
            </w:r>
            <w:r w:rsidRPr="00F32185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t xml:space="preserve"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</w:t>
            </w:r>
            <w:r w:rsidRPr="00F32185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lastRenderedPageBreak/>
              <w:t>определяются положением о виде контроля.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3.Контролируемое лицо вправе направить запрос о предоставлении письменного ответа в сроки, установленные Федеральным </w:t>
            </w:r>
            <w:hyperlink r:id="rId5" w:history="1">
              <w:r w:rsidRPr="00F32185">
                <w:rPr>
                  <w:rFonts w:ascii="Courier New" w:eastAsia="Times New Roman" w:hAnsi="Courier New" w:cs="Courier New"/>
                  <w:color w:val="000000"/>
                  <w:u w:val="single"/>
                  <w:lang w:eastAsia="ru-RU"/>
                </w:rPr>
                <w:t>законом</w:t>
              </w:r>
            </w:hyperlink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</w:tbl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</w:p>
    <w:p w:rsidR="001A1EDD" w:rsidRDefault="001A1EDD" w:rsidP="001A1ED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07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4. Показатели результативности и эффективности программы профилактики рисков причинения вреда</w:t>
      </w:r>
    </w:p>
    <w:p w:rsidR="0059077D" w:rsidRPr="0059077D" w:rsidRDefault="0059077D" w:rsidP="001A1ED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975"/>
        <w:gridCol w:w="2626"/>
      </w:tblGrid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Величина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100 %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90 % от числа обратившихся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не менее 1 мероприятий, проведенных контрольным (надзорным) органом</w:t>
            </w:r>
          </w:p>
        </w:tc>
      </w:tr>
    </w:tbl>
    <w:p w:rsidR="00CB03A4" w:rsidRPr="00F32185" w:rsidRDefault="00CB03A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</w:p>
    <w:sectPr w:rsidR="00CB03A4" w:rsidRPr="00F32185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E7A84"/>
    <w:rsid w:val="00114022"/>
    <w:rsid w:val="001A1EDD"/>
    <w:rsid w:val="0044620C"/>
    <w:rsid w:val="00551B9C"/>
    <w:rsid w:val="0059077D"/>
    <w:rsid w:val="005B6412"/>
    <w:rsid w:val="00CB03A4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79BD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4</cp:revision>
  <cp:lastPrinted>2022-10-24T06:47:00Z</cp:lastPrinted>
  <dcterms:created xsi:type="dcterms:W3CDTF">2022-07-12T04:45:00Z</dcterms:created>
  <dcterms:modified xsi:type="dcterms:W3CDTF">2022-10-24T06:47:00Z</dcterms:modified>
</cp:coreProperties>
</file>