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85" w:rsidRPr="00F32185" w:rsidRDefault="00F32185" w:rsidP="00F32185">
      <w:pPr>
        <w:tabs>
          <w:tab w:val="center" w:pos="4819"/>
          <w:tab w:val="left" w:pos="7470"/>
        </w:tabs>
        <w:spacing w:after="0" w:line="240" w:lineRule="auto"/>
        <w:rPr>
          <w:rFonts w:ascii="Arial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</w:r>
      <w:r w:rsidRPr="00F32185">
        <w:rPr>
          <w:rFonts w:ascii="Arial" w:hAnsi="Arial" w:cs="Arial"/>
          <w:b/>
          <w:color w:val="000000"/>
          <w:sz w:val="32"/>
          <w:szCs w:val="32"/>
          <w:lang w:eastAsia="ru-RU"/>
        </w:rPr>
        <w:t>.2022 №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ab/>
        <w:t>ПРОЕКТ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РОССИЙСКАЯ ФЕДЕРАЦИЯ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ИРКУТСКАЯ ОБЛАСТЬ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«БУРЕТЬ»</w:t>
      </w:r>
    </w:p>
    <w:p w:rsidR="00F32185" w:rsidRPr="00F32185" w:rsidRDefault="00F32185" w:rsidP="00F3218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  <w:bookmarkStart w:id="0" w:name="_GoBack"/>
      <w:bookmarkEnd w:id="0"/>
    </w:p>
    <w:p w:rsidR="00F32185" w:rsidRPr="00F32185" w:rsidRDefault="00F32185" w:rsidP="0059077D">
      <w:pPr>
        <w:tabs>
          <w:tab w:val="left" w:pos="186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32185">
        <w:rPr>
          <w:rFonts w:ascii="Arial" w:hAnsi="Arial" w:cs="Arial"/>
          <w:b/>
          <w:sz w:val="32"/>
          <w:szCs w:val="32"/>
          <w:lang w:eastAsia="ru-RU"/>
        </w:rPr>
        <w:t xml:space="preserve">ПОСТАНОВЛЕНИЕ </w:t>
      </w:r>
    </w:p>
    <w:p w:rsidR="001A1EDD" w:rsidRPr="0059077D" w:rsidRDefault="001A1EDD" w:rsidP="005907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A1EDD" w:rsidRPr="00F32185" w:rsidRDefault="00F32185" w:rsidP="005907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ПРОГРАММЫ ПРОФИЛАКТИКИ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РИСКОВ ПРИЧИНЕНИЯ ВРЕДА (УЩЕРБА) ОХРАНЯЕМЫМ ЗАКОНОМ ЦЕННОСТЯМ ПО МУНИЦИПАЛЬНОМУ КОНТРОЛЮ В СФЕРЕ БЛАГОУСТРОЙСТВА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2022 ГОД</w:t>
      </w:r>
    </w:p>
    <w:p w:rsidR="001A1EDD" w:rsidRPr="00F32185" w:rsidRDefault="001A1EDD" w:rsidP="001A1EDD">
      <w:pPr>
        <w:spacing w:after="0" w:line="28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ст. 44Федерального закона от 31.07.2020 № 248-ФЗ «О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при осуществлении муниципального контроля в сфере благоустройства, Администрация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«Буреть» </w:t>
      </w:r>
      <w:proofErr w:type="spellStart"/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Боханского</w:t>
      </w:r>
      <w:proofErr w:type="spellEnd"/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Иркутской области</w:t>
      </w:r>
    </w:p>
    <w:p w:rsidR="001A1EDD" w:rsidRPr="00F32185" w:rsidRDefault="001A1EDD" w:rsidP="001A1EDD">
      <w:pPr>
        <w:spacing w:after="0" w:line="280" w:lineRule="atLeast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1A1EDD">
      <w:pPr>
        <w:spacing w:after="0" w:line="280" w:lineRule="atLeast"/>
        <w:ind w:firstLine="851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ПОСТАНОВЛЯЕТ: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2022 год.</w:t>
      </w: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Опубликовать постановление администрации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«Буреть» </w:t>
      </w:r>
      <w:proofErr w:type="spellStart"/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Боханского</w:t>
      </w:r>
      <w:proofErr w:type="spellEnd"/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Иркутской области «Об утверждении программы профилактики рисков причинения вреда (ущерба) охраняемым зако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 ценностям по муниципальному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сфере благоустройства на 2022 год» на официальном сайте Администрации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Контроль исполнения настоящего постановления возложить на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заместителя главы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 «Буреть»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1EDD" w:rsidRPr="00F32185" w:rsidRDefault="001A1EDD" w:rsidP="00F32185">
      <w:pPr>
        <w:spacing w:after="0" w:line="322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вступает в силу с момента официального опубликования (обнародования).</w:t>
      </w: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8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2185" w:rsidRPr="00F32185" w:rsidRDefault="00F32185" w:rsidP="00F32185">
      <w:pPr>
        <w:pStyle w:val="a9"/>
        <w:tabs>
          <w:tab w:val="left" w:pos="5833"/>
        </w:tabs>
        <w:jc w:val="both"/>
      </w:pPr>
      <w:r w:rsidRPr="00F32185">
        <w:t>Глава</w:t>
      </w:r>
      <w:r w:rsidRPr="00F32185">
        <w:rPr>
          <w:spacing w:val="-11"/>
        </w:rPr>
        <w:t xml:space="preserve"> </w:t>
      </w:r>
      <w:r w:rsidRPr="00F32185">
        <w:t>администрации</w:t>
      </w:r>
      <w:r w:rsidRPr="00F32185">
        <w:rPr>
          <w:color w:val="6D62A1"/>
        </w:rPr>
        <w:t>‘</w:t>
      </w:r>
    </w:p>
    <w:p w:rsidR="00F32185" w:rsidRPr="00F32185" w:rsidRDefault="00F32185" w:rsidP="00F32185">
      <w:pPr>
        <w:tabs>
          <w:tab w:val="left" w:pos="7425"/>
        </w:tabs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муниципального</w:t>
      </w:r>
      <w:r w:rsidRPr="00F32185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образования</w:t>
      </w:r>
      <w:r w:rsidRPr="00F32185">
        <w:rPr>
          <w:rFonts w:ascii="Arial" w:hAnsi="Arial" w:cs="Arial"/>
          <w:spacing w:val="24"/>
          <w:w w:val="95"/>
          <w:sz w:val="24"/>
          <w:szCs w:val="24"/>
        </w:rPr>
        <w:t xml:space="preserve"> </w:t>
      </w:r>
      <w:r w:rsidRPr="00F32185">
        <w:rPr>
          <w:rFonts w:ascii="Arial" w:hAnsi="Arial" w:cs="Arial"/>
          <w:w w:val="95"/>
          <w:sz w:val="24"/>
          <w:szCs w:val="24"/>
        </w:rPr>
        <w:t>«Буреть»</w:t>
      </w:r>
    </w:p>
    <w:p w:rsidR="00F32185" w:rsidRPr="00F32185" w:rsidRDefault="00F32185" w:rsidP="00F32185">
      <w:pPr>
        <w:spacing w:after="0" w:line="240" w:lineRule="auto"/>
        <w:rPr>
          <w:rFonts w:ascii="Arial" w:hAnsi="Arial" w:cs="Arial"/>
          <w:w w:val="95"/>
          <w:sz w:val="24"/>
          <w:szCs w:val="24"/>
        </w:rPr>
      </w:pPr>
      <w:r w:rsidRPr="00F32185">
        <w:rPr>
          <w:rFonts w:ascii="Arial" w:hAnsi="Arial" w:cs="Arial"/>
          <w:w w:val="95"/>
          <w:sz w:val="24"/>
          <w:szCs w:val="24"/>
        </w:rPr>
        <w:t>А.С. Ткач</w:t>
      </w: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rPr>
          <w:w w:val="95"/>
          <w:sz w:val="24"/>
          <w:szCs w:val="24"/>
        </w:rPr>
      </w:pPr>
    </w:p>
    <w:p w:rsid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lastRenderedPageBreak/>
        <w:t>Приложение</w:t>
      </w:r>
    </w:p>
    <w:p w:rsidR="00F32185" w:rsidRDefault="001A1EDD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к постановлению Администрации</w:t>
      </w:r>
    </w:p>
    <w:p w:rsidR="001A1EDD" w:rsidRPr="00F32185" w:rsidRDefault="00F32185" w:rsidP="00F32185">
      <w:pPr>
        <w:spacing w:after="0" w:line="240" w:lineRule="auto"/>
        <w:jc w:val="right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муниципального образования «Буреть»</w:t>
      </w:r>
    </w:p>
    <w:p w:rsidR="001A1EDD" w:rsidRPr="00F32185" w:rsidRDefault="001A1EDD" w:rsidP="00F32185">
      <w:pPr>
        <w:spacing w:after="0" w:line="240" w:lineRule="auto"/>
        <w:ind w:left="5103" w:firstLine="6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Courier New" w:eastAsia="Times New Roman" w:hAnsi="Courier New" w:cs="Courier New"/>
          <w:color w:val="000000"/>
          <w:lang w:eastAsia="ru-RU"/>
        </w:rPr>
        <w:t>от ______________ г. № ____</w:t>
      </w:r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1A1EDD" w:rsidP="00F32185">
      <w:pPr>
        <w:spacing w:after="0" w:line="240" w:lineRule="auto"/>
        <w:ind w:left="5103" w:firstLine="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F32185" w:rsidP="001A1ED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ПРОГРАММА ПРОФИЛАКТИКИ </w:t>
      </w: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РИСКОВ ПРИЧИНЕНИЯ ВРЕДА (УЩЕРБА) ОХРАНЯЕМЫМ ЗАКОНОМ ЦЕННОСТЯМ ПО МУНИЦИПАЛЬНОМУ КОНТРОЛЮ В СФЕРЕ БЛАГОУСТРОЙСТВА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r w:rsidRPr="00F321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2022 ГОД</w:t>
      </w:r>
    </w:p>
    <w:p w:rsidR="001A1EDD" w:rsidRPr="00F32185" w:rsidRDefault="00F32185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321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1A1EDD" w:rsidRDefault="001A1EDD" w:rsidP="001A1ED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32185" w:rsidRPr="00F32185" w:rsidRDefault="00F32185" w:rsidP="001A1ED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CB03A4" w:rsidP="00CB0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r w:rsidR="001A1EDD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 разработана в соответствии со статьей 44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1EDD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закона от 31 июля 2021 г. № 248-ФЗ «О государственном контроле (надзоре) и муниципальном контроле в Российской Федерации»,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1EDD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1EDD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контроля в сфере благоустройства (далее - мероприятия по профилактике нарушений), осуществляются должностными лицами (уполномоченными специалистами) на осуществление муниципального контроля в сфере благоустройства.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Предметом муниципального контроля является: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«Буреть» </w:t>
      </w:r>
      <w:proofErr w:type="spellStart"/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Боханского</w:t>
      </w:r>
      <w:proofErr w:type="spellEnd"/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Иркутской области,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муниципальном образовании в соответствии с Правилами;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исполнение решений, принимаемых по результатам контрольных мероприятий.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Объектами муниципального контроля (далее – объект контроля) являются: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деятельность, действия (бездействие) контролируемых лиц в сфере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благоустройства территории муниципального образования 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«Буреть»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Боханского</w:t>
      </w:r>
      <w:proofErr w:type="spellEnd"/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</w:t>
      </w:r>
      <w:r w:rsid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Иркутской области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информирование;</w:t>
      </w:r>
    </w:p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объявление предостережения;</w:t>
      </w:r>
    </w:p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консультирование;</w:t>
      </w:r>
    </w:p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профилактический визит.</w:t>
      </w:r>
    </w:p>
    <w:p w:rsidR="001A1EDD" w:rsidRPr="00F32185" w:rsidRDefault="001A1EDD" w:rsidP="001A1EDD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Default="001A1EDD" w:rsidP="001A1ED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2. Цели и задачи реализации программы профилактики рисков причинения вреда</w:t>
      </w:r>
    </w:p>
    <w:p w:rsidR="0059077D" w:rsidRPr="00F32185" w:rsidRDefault="0059077D" w:rsidP="001A1ED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F32185" w:rsidRDefault="00CB03A4" w:rsidP="00CB03A4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2.1 </w:t>
      </w:r>
      <w:r w:rsidR="001A1EDD" w:rsidRPr="00F3218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Основными целями Программы профилактики являются:</w:t>
      </w:r>
    </w:p>
    <w:p w:rsidR="001A1EDD" w:rsidRPr="00F32185" w:rsidRDefault="001A1EDD" w:rsidP="00CB03A4">
      <w:pPr>
        <w:pStyle w:val="a6"/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1A1EDD" w:rsidRPr="00F32185" w:rsidRDefault="001A1EDD" w:rsidP="00CB03A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A1EDD" w:rsidRPr="00F32185" w:rsidRDefault="001A1EDD" w:rsidP="00CB03A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A1EDD" w:rsidRPr="00F32185" w:rsidRDefault="00CB03A4" w:rsidP="00CB03A4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2.2. </w:t>
      </w:r>
      <w:r w:rsidR="001A1EDD" w:rsidRPr="00F3218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1A1EDD" w:rsidRPr="00F32185" w:rsidRDefault="001A1EDD" w:rsidP="00CB03A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A1EDD" w:rsidRPr="00F32185" w:rsidRDefault="001A1EDD" w:rsidP="00CB03A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уровня информированности и</w:t>
      </w:r>
      <w:r w:rsidR="00CB03A4"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правосознания субъектов, в отношении которых осуществляется муниципальный контроль в сфере благоустройства;</w:t>
      </w:r>
    </w:p>
    <w:p w:rsidR="001A1EDD" w:rsidRPr="00F32185" w:rsidRDefault="001A1EDD" w:rsidP="00CB03A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и устранение причин, факторов и условий, способствующих нарушениям субъектами, в отношении которых осуществляется муниципальный контроль в сфере благоустройства, обязательных требований;</w:t>
      </w:r>
    </w:p>
    <w:p w:rsidR="001A1EDD" w:rsidRPr="00F32185" w:rsidRDefault="001A1EDD" w:rsidP="00CB03A4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21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 в сфере благоустройства, обязательных требований.</w:t>
      </w:r>
    </w:p>
    <w:p w:rsidR="001A1EDD" w:rsidRPr="00F32185" w:rsidRDefault="001A1EDD" w:rsidP="00CB03A4">
      <w:pPr>
        <w:spacing w:after="0" w:line="240" w:lineRule="auto"/>
        <w:ind w:left="141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1EDD" w:rsidRPr="0059077D" w:rsidRDefault="001A1EDD" w:rsidP="001A1EDD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907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p w:rsidR="0059077D" w:rsidRPr="00F32185" w:rsidRDefault="0059077D" w:rsidP="001A1EDD">
      <w:pPr>
        <w:spacing w:after="0" w:line="240" w:lineRule="auto"/>
        <w:ind w:firstLine="85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5223"/>
        <w:gridCol w:w="1843"/>
        <w:gridCol w:w="1973"/>
      </w:tblGrid>
      <w:tr w:rsidR="001A1EDD" w:rsidRPr="00F32185" w:rsidTr="00CB03A4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Срок исполнения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CB03A4" w:rsidRPr="00F32185" w:rsidTr="00CB03A4">
        <w:trPr>
          <w:trHeight w:val="273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</w:t>
            </w:r>
            <w:r w:rsidRPr="00F32185">
              <w:rPr>
                <w:rFonts w:ascii="Courier New" w:eastAsia="Times New Roman" w:hAnsi="Courier New" w:cs="Courier New"/>
                <w:lang w:eastAsia="ru-RU"/>
              </w:rPr>
              <w:lastRenderedPageBreak/>
              <w:t>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3A4" w:rsidRPr="00F32185" w:rsidRDefault="00CB03A4" w:rsidP="00CB03A4">
            <w:pPr>
              <w:jc w:val="center"/>
              <w:rPr>
                <w:rFonts w:ascii="Courier New" w:hAnsi="Courier New" w:cs="Courier New"/>
              </w:rPr>
            </w:pPr>
            <w:r w:rsidRPr="00F32185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</w:t>
            </w:r>
          </w:p>
        </w:tc>
      </w:tr>
      <w:tr w:rsidR="00CB03A4" w:rsidRPr="00F32185" w:rsidTr="00CB03A4">
        <w:trPr>
          <w:trHeight w:val="23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lastRenderedPageBreak/>
              <w:t>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Обобщение правоприменительной практики: подготовка доклада с результатами обобщения правоприменительной практики Контрольного органа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До 30 января года, следующего за отчетным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3A4" w:rsidRPr="00F32185" w:rsidRDefault="00CB03A4" w:rsidP="00CB03A4">
            <w:pPr>
              <w:jc w:val="center"/>
              <w:rPr>
                <w:rFonts w:ascii="Courier New" w:hAnsi="Courier New" w:cs="Courier New"/>
              </w:rPr>
            </w:pPr>
            <w:r w:rsidRPr="00F32185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</w:t>
            </w:r>
          </w:p>
        </w:tc>
      </w:tr>
      <w:tr w:rsidR="00CB03A4" w:rsidRPr="00F32185" w:rsidTr="00CB03A4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Выдача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 охраняемым законом ценностям, и предлагает принять меры по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По мере необходимости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3A4" w:rsidRPr="00F32185" w:rsidRDefault="00CB03A4" w:rsidP="00CB03A4">
            <w:pPr>
              <w:jc w:val="center"/>
              <w:rPr>
                <w:rFonts w:ascii="Courier New" w:hAnsi="Courier New" w:cs="Courier New"/>
              </w:rPr>
            </w:pPr>
            <w:r w:rsidRPr="00F32185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</w:t>
            </w:r>
          </w:p>
        </w:tc>
      </w:tr>
      <w:tr w:rsidR="00CB03A4" w:rsidRPr="00F32185" w:rsidTr="00CB03A4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Консультирование: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1.Инспекторы осуществляют консультирование контролируемых лиц и их представителей: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2) посредством размещения на официальном сайте администрации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2.Письменное консультирование контролируемых лиц и их представителей осуществляется по следующим вопросам: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1) порядок обжалования решений Контрольного органа;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2) </w:t>
            </w:r>
            <w:r w:rsidRPr="00F32185">
              <w:rPr>
                <w:rFonts w:ascii="Courier New" w:eastAsia="Times New Roman" w:hAnsi="Courier New" w:cs="Courier New"/>
                <w:color w:val="000000"/>
                <w:shd w:val="clear" w:color="auto" w:fill="FFFFFF"/>
                <w:lang w:eastAsia="ru-RU"/>
              </w:rPr>
              <w:t xml:space="preserve">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</w:t>
            </w:r>
            <w:r w:rsidRPr="00F32185">
              <w:rPr>
                <w:rFonts w:ascii="Courier New" w:eastAsia="Times New Roman" w:hAnsi="Courier New" w:cs="Courier New"/>
                <w:color w:val="000000"/>
                <w:shd w:val="clear" w:color="auto" w:fill="FFFFFF"/>
                <w:lang w:eastAsia="ru-RU"/>
              </w:rPr>
              <w:lastRenderedPageBreak/>
              <w:t>определяются положением о виде контроля.</w:t>
            </w:r>
          </w:p>
          <w:p w:rsidR="00CB03A4" w:rsidRPr="00F32185" w:rsidRDefault="00CB03A4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 xml:space="preserve">3.Контролируемое лицо вправе направить запрос о предоставлении письменного ответа в сроки, установленные Федеральным </w:t>
            </w:r>
            <w:hyperlink r:id="rId5" w:history="1">
              <w:r w:rsidRPr="00F32185">
                <w:rPr>
                  <w:rFonts w:ascii="Courier New" w:eastAsia="Times New Roman" w:hAnsi="Courier New" w:cs="Courier New"/>
                  <w:color w:val="000000"/>
                  <w:u w:val="single"/>
                  <w:lang w:eastAsia="ru-RU"/>
                </w:rPr>
                <w:t>законом</w:t>
              </w:r>
            </w:hyperlink>
            <w:r w:rsidRPr="00F32185">
              <w:rPr>
                <w:rFonts w:ascii="Courier New" w:eastAsia="Times New Roman" w:hAnsi="Courier New" w:cs="Courier New"/>
                <w:lang w:eastAsia="ru-RU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3A4" w:rsidRPr="00F32185" w:rsidRDefault="00CB03A4" w:rsidP="00CB03A4">
            <w:pPr>
              <w:jc w:val="center"/>
              <w:rPr>
                <w:rFonts w:ascii="Courier New" w:hAnsi="Courier New" w:cs="Courier New"/>
              </w:rPr>
            </w:pPr>
            <w:r w:rsidRPr="00F32185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</w:t>
            </w:r>
          </w:p>
        </w:tc>
      </w:tr>
      <w:tr w:rsidR="00CB03A4" w:rsidRPr="00F32185" w:rsidTr="00CB03A4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lastRenderedPageBreak/>
              <w:t>5.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03A4" w:rsidRPr="00F32185" w:rsidRDefault="00CB03A4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По мере необходимости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3A4" w:rsidRPr="00F32185" w:rsidRDefault="00CB03A4" w:rsidP="00CB03A4">
            <w:pPr>
              <w:jc w:val="center"/>
              <w:rPr>
                <w:rFonts w:ascii="Courier New" w:hAnsi="Courier New" w:cs="Courier New"/>
              </w:rPr>
            </w:pPr>
            <w:r w:rsidRPr="00F32185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</w:t>
            </w:r>
          </w:p>
        </w:tc>
      </w:tr>
    </w:tbl>
    <w:p w:rsidR="001A1EDD" w:rsidRPr="00F32185" w:rsidRDefault="001A1EDD" w:rsidP="001A1EDD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b/>
          <w:bCs/>
          <w:color w:val="000000"/>
          <w:lang w:eastAsia="ru-RU"/>
        </w:rPr>
        <w:t> </w:t>
      </w:r>
    </w:p>
    <w:p w:rsidR="001A1EDD" w:rsidRDefault="001A1EDD" w:rsidP="001A1ED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907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4. Показатели результативности и эффективности программы профилактики рисков причинения вреда</w:t>
      </w:r>
    </w:p>
    <w:p w:rsidR="0059077D" w:rsidRPr="0059077D" w:rsidRDefault="0059077D" w:rsidP="001A1EDD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5975"/>
        <w:gridCol w:w="2626"/>
      </w:tblGrid>
      <w:tr w:rsidR="001A1EDD" w:rsidRPr="00F32185" w:rsidTr="00CB03A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№ п/п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Величина</w:t>
            </w:r>
          </w:p>
        </w:tc>
      </w:tr>
      <w:tr w:rsidR="001A1EDD" w:rsidRPr="00F32185" w:rsidTr="00CB03A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1.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100 %</w:t>
            </w:r>
          </w:p>
        </w:tc>
      </w:tr>
      <w:tr w:rsidR="001A1EDD" w:rsidRPr="00F32185" w:rsidTr="00CB03A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2.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90 % от числа обратившихся</w:t>
            </w:r>
          </w:p>
        </w:tc>
      </w:tr>
      <w:tr w:rsidR="001A1EDD" w:rsidRPr="00F32185" w:rsidTr="00CB03A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3.</w:t>
            </w:r>
          </w:p>
        </w:tc>
        <w:tc>
          <w:tcPr>
            <w:tcW w:w="5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1EDD" w:rsidRPr="00F32185" w:rsidRDefault="001A1EDD" w:rsidP="00CB03A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32185">
              <w:rPr>
                <w:rFonts w:ascii="Courier New" w:eastAsia="Times New Roman" w:hAnsi="Courier New" w:cs="Courier New"/>
                <w:lang w:eastAsia="ru-RU"/>
              </w:rPr>
              <w:t>не менее 1 мероприятий, проведенных контрольным (надзорным) органом</w:t>
            </w:r>
          </w:p>
        </w:tc>
      </w:tr>
    </w:tbl>
    <w:p w:rsidR="00CB03A4" w:rsidRPr="00F32185" w:rsidRDefault="00CB03A4" w:rsidP="00CB03A4">
      <w:pPr>
        <w:spacing w:after="0" w:line="280" w:lineRule="atLeast"/>
        <w:ind w:firstLine="87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F32185">
        <w:rPr>
          <w:rFonts w:ascii="Courier New" w:eastAsia="Times New Roman" w:hAnsi="Courier New" w:cs="Courier New"/>
          <w:b/>
          <w:bCs/>
          <w:color w:val="000000"/>
          <w:lang w:eastAsia="ru-RU"/>
        </w:rPr>
        <w:t> </w:t>
      </w:r>
    </w:p>
    <w:sectPr w:rsidR="00CB03A4" w:rsidRPr="00F32185" w:rsidSect="00F3218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E81"/>
    <w:multiLevelType w:val="multilevel"/>
    <w:tmpl w:val="1FBA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54B03"/>
    <w:multiLevelType w:val="multilevel"/>
    <w:tmpl w:val="10E0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403CC"/>
    <w:multiLevelType w:val="multilevel"/>
    <w:tmpl w:val="93BAF4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40083354"/>
    <w:multiLevelType w:val="multilevel"/>
    <w:tmpl w:val="A80209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A741F"/>
    <w:multiLevelType w:val="multilevel"/>
    <w:tmpl w:val="11400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F0821"/>
    <w:multiLevelType w:val="multilevel"/>
    <w:tmpl w:val="3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DD"/>
    <w:rsid w:val="001A1EDD"/>
    <w:rsid w:val="0044620C"/>
    <w:rsid w:val="00551B9C"/>
    <w:rsid w:val="0059077D"/>
    <w:rsid w:val="005B6412"/>
    <w:rsid w:val="00CB03A4"/>
    <w:rsid w:val="00F32185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B203"/>
  <w15:chartTrackingRefBased/>
  <w15:docId w15:val="{21974265-2FD7-4B87-A831-FDC9BAA3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1EDD"/>
    <w:rPr>
      <w:color w:val="0000FF"/>
      <w:u w:val="single"/>
    </w:rPr>
  </w:style>
  <w:style w:type="table" w:styleId="a5">
    <w:name w:val="Table Grid"/>
    <w:basedOn w:val="a1"/>
    <w:uiPriority w:val="39"/>
    <w:rsid w:val="001A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03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3A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F321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3218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3</cp:revision>
  <cp:lastPrinted>2022-02-25T07:25:00Z</cp:lastPrinted>
  <dcterms:created xsi:type="dcterms:W3CDTF">2022-07-12T04:45:00Z</dcterms:created>
  <dcterms:modified xsi:type="dcterms:W3CDTF">2022-08-04T04:56:00Z</dcterms:modified>
</cp:coreProperties>
</file>