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2A" w:rsidRDefault="002A778C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7B766A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="007B766A" w:rsidRPr="007B766A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7B766A">
        <w:rPr>
          <w:rFonts w:ascii="Arial" w:eastAsia="Calibri" w:hAnsi="Arial" w:cs="Arial"/>
          <w:b/>
          <w:bCs/>
          <w:sz w:val="32"/>
          <w:szCs w:val="32"/>
          <w:lang w:eastAsia="en-US"/>
        </w:rPr>
        <w:t>.11.</w:t>
      </w:r>
      <w:r w:rsidR="00660C2A" w:rsidRPr="007B766A">
        <w:rPr>
          <w:rFonts w:ascii="Arial" w:eastAsia="Calibri" w:hAnsi="Arial" w:cs="Arial"/>
          <w:b/>
          <w:bCs/>
          <w:sz w:val="32"/>
          <w:szCs w:val="32"/>
          <w:lang w:eastAsia="en-US"/>
        </w:rPr>
        <w:t>201</w:t>
      </w:r>
      <w:r w:rsidR="007B766A" w:rsidRPr="007B766A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660C2A" w:rsidRPr="007B766A">
        <w:rPr>
          <w:rFonts w:ascii="Arial" w:eastAsia="Calibri" w:hAnsi="Arial" w:cs="Arial"/>
          <w:b/>
          <w:bCs/>
          <w:sz w:val="32"/>
          <w:szCs w:val="32"/>
          <w:lang w:eastAsia="en-US"/>
        </w:rPr>
        <w:t>г №</w:t>
      </w:r>
      <w:r w:rsidR="007B766A">
        <w:rPr>
          <w:rFonts w:ascii="Arial" w:eastAsia="Calibri" w:hAnsi="Arial" w:cs="Arial"/>
          <w:b/>
          <w:bCs/>
          <w:sz w:val="32"/>
          <w:szCs w:val="32"/>
          <w:lang w:eastAsia="en-US"/>
        </w:rPr>
        <w:t>68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60C2A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60C2A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60C2A" w:rsidRPr="004F4130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 УСТАНОВЛЕНИИ РАЗМЕРА РЕЗЕРВНОГО ФОНДА МО «БУРЕТЬ» НА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ГОД И ПЛАНОВЫЙ ПЕРИОД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2021 и 2022 ГОДОВ</w:t>
      </w:r>
    </w:p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Руководствуясь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нормативно правовыми актами Российской Федерации и </w:t>
      </w:r>
      <w:r w:rsidRPr="004F7C17">
        <w:rPr>
          <w:rFonts w:ascii="Arial" w:eastAsia="Times New Roman" w:hAnsi="Arial" w:cs="Arial"/>
          <w:sz w:val="24"/>
          <w:szCs w:val="24"/>
        </w:rPr>
        <w:t>Положени</w:t>
      </w:r>
      <w:r>
        <w:rPr>
          <w:rFonts w:ascii="Arial" w:eastAsia="Times New Roman" w:hAnsi="Arial" w:cs="Arial"/>
          <w:sz w:val="24"/>
          <w:szCs w:val="24"/>
        </w:rPr>
        <w:t>ем</w:t>
      </w:r>
      <w:r w:rsidR="007B766A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Pr="004F7C17">
        <w:rPr>
          <w:rFonts w:ascii="Arial" w:eastAsia="Times New Roman" w:hAnsi="Arial" w:cs="Arial"/>
          <w:sz w:val="24"/>
          <w:szCs w:val="24"/>
        </w:rPr>
        <w:t>«О порядке расходования средств резервного фонда администрации муниципального образования «Буреть», утвержденного Постановлению администрации муниципального образования «Б</w:t>
      </w:r>
      <w:r>
        <w:rPr>
          <w:rFonts w:ascii="Arial" w:eastAsia="Times New Roman" w:hAnsi="Arial" w:cs="Arial"/>
          <w:sz w:val="24"/>
          <w:szCs w:val="24"/>
        </w:rPr>
        <w:t>уреть» №32 от 25.04.2012 года</w:t>
      </w:r>
    </w:p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60C2A" w:rsidRPr="002A778C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0"/>
          <w:szCs w:val="30"/>
          <w:lang w:eastAsia="en-US"/>
        </w:rPr>
      </w:pPr>
      <w:r w:rsidRPr="002A778C">
        <w:rPr>
          <w:rFonts w:ascii="Arial" w:eastAsia="Calibri" w:hAnsi="Arial" w:cs="Arial"/>
          <w:b/>
          <w:bCs/>
          <w:sz w:val="30"/>
          <w:szCs w:val="30"/>
          <w:lang w:eastAsia="en-US"/>
        </w:rPr>
        <w:t>ПОСТАНОВЛЯЕТ:</w:t>
      </w:r>
    </w:p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37591" w:rsidRPr="00660C2A" w:rsidRDefault="00E37591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Установить размер резервного фонда администрации муниципального образования «Буреть» на 20</w:t>
      </w:r>
      <w:r w:rsidR="007A61DE">
        <w:rPr>
          <w:rFonts w:ascii="Arial" w:eastAsia="Calibri" w:hAnsi="Arial" w:cs="Arial"/>
          <w:bCs/>
          <w:sz w:val="24"/>
          <w:szCs w:val="24"/>
          <w:lang w:eastAsia="en-US"/>
        </w:rPr>
        <w:t>20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год в размере – 10 тыс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руб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, на 20</w:t>
      </w:r>
      <w:r w:rsidR="007A61DE">
        <w:rPr>
          <w:rFonts w:ascii="Arial" w:eastAsia="Calibri" w:hAnsi="Arial" w:cs="Arial"/>
          <w:bCs/>
          <w:sz w:val="24"/>
          <w:szCs w:val="24"/>
          <w:lang w:eastAsia="en-US"/>
        </w:rPr>
        <w:t>21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в размере 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>–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10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тыс. руб.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>, на 202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 xml:space="preserve">2 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в размере 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>–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10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тыс. руб.</w:t>
      </w:r>
    </w:p>
    <w:p w:rsidR="00660C2A" w:rsidRPr="002A778C" w:rsidRDefault="00660C2A" w:rsidP="00660C2A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60C2A" w:rsidRPr="002A778C" w:rsidRDefault="00660C2A" w:rsidP="00660C2A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 xml:space="preserve">Глава администрации </w:t>
      </w:r>
    </w:p>
    <w:p w:rsid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>МО «Буреть»</w:t>
      </w:r>
    </w:p>
    <w:p w:rsidR="00E37591" w:rsidRP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>А.С.</w:t>
      </w:r>
      <w:r>
        <w:rPr>
          <w:rFonts w:ascii="Arial" w:eastAsia="Times New Roman" w:hAnsi="Arial" w:cs="Arial"/>
          <w:sz w:val="24"/>
          <w:szCs w:val="24"/>
        </w:rPr>
        <w:t xml:space="preserve"> Ткач</w:t>
      </w:r>
    </w:p>
    <w:sectPr w:rsidR="00E37591" w:rsidRPr="00660C2A" w:rsidSect="002A778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7591"/>
    <w:rsid w:val="0013701A"/>
    <w:rsid w:val="00155C1F"/>
    <w:rsid w:val="001D03ED"/>
    <w:rsid w:val="002A778C"/>
    <w:rsid w:val="006547CA"/>
    <w:rsid w:val="00660C2A"/>
    <w:rsid w:val="007A61DE"/>
    <w:rsid w:val="007B766A"/>
    <w:rsid w:val="00E37591"/>
    <w:rsid w:val="00FA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2</cp:revision>
  <dcterms:created xsi:type="dcterms:W3CDTF">2019-11-14T08:55:00Z</dcterms:created>
  <dcterms:modified xsi:type="dcterms:W3CDTF">2019-11-14T08:55:00Z</dcterms:modified>
</cp:coreProperties>
</file>