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D37406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23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664D35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 w:rsidR="009F0934">
        <w:rPr>
          <w:rFonts w:ascii="Arial" w:eastAsia="Calibri" w:hAnsi="Arial" w:cs="Arial"/>
          <w:b/>
          <w:bCs/>
          <w:sz w:val="32"/>
          <w:szCs w:val="32"/>
          <w:lang w:eastAsia="en-US"/>
        </w:rPr>
        <w:t>5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 w:rsidR="00664D35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9E2DBB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42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ДЕКАБРЯ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 xml:space="preserve">, Дума </w:t>
      </w:r>
      <w:r w:rsidR="009E2DBB" w:rsidRPr="00815B84">
        <w:rPr>
          <w:rFonts w:ascii="Arial" w:hAnsi="Arial" w:cs="Arial"/>
          <w:sz w:val="24"/>
          <w:szCs w:val="24"/>
        </w:rPr>
        <w:t>муниципального образования «Буреть»</w:t>
      </w:r>
    </w:p>
    <w:p w:rsidR="009E2DBB" w:rsidRPr="00815B84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Pr="00815B84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815B84">
        <w:rPr>
          <w:rFonts w:ascii="Arial" w:hAnsi="Arial" w:cs="Arial"/>
          <w:b/>
          <w:sz w:val="30"/>
          <w:szCs w:val="30"/>
        </w:rPr>
        <w:t>РЕШИЛА:</w:t>
      </w:r>
    </w:p>
    <w:p w:rsidR="009E2DBB" w:rsidRPr="00815B84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D5C79" w:rsidRPr="00815B84" w:rsidRDefault="00E439E6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>1.</w:t>
      </w:r>
      <w:r w:rsidR="00AC6CC1" w:rsidRPr="00815B84">
        <w:rPr>
          <w:rFonts w:ascii="Arial" w:hAnsi="Arial" w:cs="Arial"/>
          <w:sz w:val="24"/>
          <w:szCs w:val="24"/>
        </w:rPr>
        <w:t xml:space="preserve">Внести в решение думы № </w:t>
      </w:r>
      <w:r w:rsidRPr="00815B84">
        <w:rPr>
          <w:rFonts w:ascii="Arial" w:hAnsi="Arial" w:cs="Arial"/>
          <w:sz w:val="24"/>
          <w:szCs w:val="24"/>
        </w:rPr>
        <w:t>19</w:t>
      </w:r>
      <w:r w:rsidR="00ED5C79" w:rsidRPr="00815B84">
        <w:rPr>
          <w:rFonts w:ascii="Arial" w:hAnsi="Arial" w:cs="Arial"/>
          <w:sz w:val="24"/>
          <w:szCs w:val="24"/>
        </w:rPr>
        <w:t xml:space="preserve"> от </w:t>
      </w:r>
      <w:r w:rsidRPr="00815B84">
        <w:rPr>
          <w:rFonts w:ascii="Arial" w:hAnsi="Arial" w:cs="Arial"/>
          <w:sz w:val="24"/>
          <w:szCs w:val="24"/>
        </w:rPr>
        <w:t>27</w:t>
      </w:r>
      <w:r w:rsidR="00ED5C79" w:rsidRPr="00815B84">
        <w:rPr>
          <w:rFonts w:ascii="Arial" w:hAnsi="Arial" w:cs="Arial"/>
          <w:sz w:val="24"/>
          <w:szCs w:val="24"/>
        </w:rPr>
        <w:t xml:space="preserve"> декабря 201</w:t>
      </w:r>
      <w:r w:rsidRPr="00815B84">
        <w:rPr>
          <w:rFonts w:ascii="Arial" w:hAnsi="Arial" w:cs="Arial"/>
          <w:sz w:val="24"/>
          <w:szCs w:val="24"/>
        </w:rPr>
        <w:t>8</w:t>
      </w:r>
      <w:r w:rsidR="00ED5C79" w:rsidRPr="00815B84">
        <w:rPr>
          <w:rFonts w:ascii="Arial" w:hAnsi="Arial" w:cs="Arial"/>
          <w:sz w:val="24"/>
          <w:szCs w:val="24"/>
        </w:rPr>
        <w:t xml:space="preserve"> г. «О бюджете муниципального образования «Буреть» на 201</w:t>
      </w:r>
      <w:r w:rsidRPr="00815B84">
        <w:rPr>
          <w:rFonts w:ascii="Arial" w:hAnsi="Arial" w:cs="Arial"/>
          <w:sz w:val="24"/>
          <w:szCs w:val="24"/>
        </w:rPr>
        <w:t>9</w:t>
      </w:r>
      <w:r w:rsidR="00ED5C79" w:rsidRPr="00815B84">
        <w:rPr>
          <w:rFonts w:ascii="Arial" w:hAnsi="Arial" w:cs="Arial"/>
          <w:sz w:val="24"/>
          <w:szCs w:val="24"/>
        </w:rPr>
        <w:t xml:space="preserve"> год и плановый период 20</w:t>
      </w:r>
      <w:r w:rsidRPr="00815B84">
        <w:rPr>
          <w:rFonts w:ascii="Arial" w:hAnsi="Arial" w:cs="Arial"/>
          <w:sz w:val="24"/>
          <w:szCs w:val="24"/>
        </w:rPr>
        <w:t>20</w:t>
      </w:r>
      <w:r w:rsidR="00ED5C79" w:rsidRPr="00815B84">
        <w:rPr>
          <w:rFonts w:ascii="Arial" w:hAnsi="Arial" w:cs="Arial"/>
          <w:sz w:val="24"/>
          <w:szCs w:val="24"/>
        </w:rPr>
        <w:t>-20</w:t>
      </w:r>
      <w:r w:rsidR="00AC6CC1" w:rsidRPr="00815B84">
        <w:rPr>
          <w:rFonts w:ascii="Arial" w:hAnsi="Arial" w:cs="Arial"/>
          <w:sz w:val="24"/>
          <w:szCs w:val="24"/>
        </w:rPr>
        <w:t>2</w:t>
      </w:r>
      <w:r w:rsidRPr="00815B84">
        <w:rPr>
          <w:rFonts w:ascii="Arial" w:hAnsi="Arial" w:cs="Arial"/>
          <w:sz w:val="24"/>
          <w:szCs w:val="24"/>
        </w:rPr>
        <w:t>1</w:t>
      </w:r>
      <w:r w:rsidR="00ED5C79" w:rsidRPr="00815B84">
        <w:rPr>
          <w:rFonts w:ascii="Arial" w:hAnsi="Arial" w:cs="Arial"/>
          <w:sz w:val="24"/>
          <w:szCs w:val="24"/>
        </w:rPr>
        <w:t xml:space="preserve"> г</w:t>
      </w:r>
      <w:r w:rsidR="00AC6CC1" w:rsidRPr="00815B84">
        <w:rPr>
          <w:rFonts w:ascii="Arial" w:hAnsi="Arial" w:cs="Arial"/>
          <w:sz w:val="24"/>
          <w:szCs w:val="24"/>
        </w:rPr>
        <w:t>г.</w:t>
      </w:r>
      <w:r w:rsidR="00ED5C79" w:rsidRPr="00815B84">
        <w:rPr>
          <w:rFonts w:ascii="Arial" w:hAnsi="Arial" w:cs="Arial"/>
          <w:sz w:val="24"/>
          <w:szCs w:val="24"/>
        </w:rPr>
        <w:t>», следующие изменения:</w:t>
      </w:r>
    </w:p>
    <w:p w:rsidR="00ED5C79" w:rsidRPr="00815B84" w:rsidRDefault="00ED5C7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 xml:space="preserve"> Приложение 6, 7 изложить в новой редакции.</w:t>
      </w:r>
    </w:p>
    <w:p w:rsidR="00ED5C79" w:rsidRPr="00815B84" w:rsidRDefault="00815B84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>2</w:t>
      </w:r>
      <w:r w:rsidR="00ED5C79" w:rsidRPr="00815B84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опубликования.</w:t>
      </w:r>
    </w:p>
    <w:p w:rsidR="00ED5C79" w:rsidRPr="00815B84" w:rsidRDefault="00815B84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>3</w:t>
      </w:r>
      <w:r w:rsidR="00ED5C79" w:rsidRPr="00815B84">
        <w:rPr>
          <w:rFonts w:ascii="Arial" w:hAnsi="Arial" w:cs="Arial"/>
          <w:sz w:val="24"/>
          <w:szCs w:val="24"/>
        </w:rPr>
        <w:t>. Опубликовать настоящее Решение в вестнике МО «Буреть».</w:t>
      </w:r>
    </w:p>
    <w:p w:rsidR="00ED5C79" w:rsidRPr="00815B84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815B84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815B84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>Председатель Думы</w:t>
      </w:r>
    </w:p>
    <w:p w:rsidR="00ED5C79" w:rsidRPr="00815B84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5B84">
        <w:rPr>
          <w:rFonts w:ascii="Arial" w:hAnsi="Arial" w:cs="Arial"/>
          <w:sz w:val="24"/>
          <w:szCs w:val="24"/>
        </w:rPr>
        <w:t>А.С. Ткач</w:t>
      </w:r>
    </w:p>
    <w:tbl>
      <w:tblPr>
        <w:tblpPr w:leftFromText="180" w:rightFromText="180" w:vertAnchor="text" w:tblpY="1"/>
        <w:tblOverlap w:val="never"/>
        <w:tblW w:w="0" w:type="auto"/>
        <w:tblInd w:w="93" w:type="dxa"/>
        <w:tblLook w:val="04A0" w:firstRow="1" w:lastRow="0" w:firstColumn="1" w:lastColumn="0" w:noHBand="0" w:noVBand="1"/>
      </w:tblPr>
      <w:tblGrid>
        <w:gridCol w:w="497"/>
        <w:gridCol w:w="9406"/>
      </w:tblGrid>
      <w:tr w:rsidR="009F0934" w:rsidRPr="001B3DB6" w:rsidTr="00DC40F3">
        <w:trPr>
          <w:gridAfter w:val="1"/>
          <w:wAfter w:w="9601" w:type="dxa"/>
          <w:trHeight w:val="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934" w:rsidRPr="001B3DB6" w:rsidRDefault="009F0934" w:rsidP="00E253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93FE4" w:rsidRPr="00404AF0" w:rsidTr="00DC40F3">
        <w:trPr>
          <w:trHeight w:val="9495"/>
        </w:trPr>
        <w:tc>
          <w:tcPr>
            <w:tcW w:w="99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120" w:type="dxa"/>
              <w:tblLook w:val="04A0" w:firstRow="1" w:lastRow="0" w:firstColumn="1" w:lastColumn="0" w:noHBand="0" w:noVBand="1"/>
            </w:tblPr>
            <w:tblGrid>
              <w:gridCol w:w="9687"/>
            </w:tblGrid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9F0934" w:rsidP="00815B8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lastRenderedPageBreak/>
                    <w:t>При</w:t>
                  </w:r>
                  <w:r w:rsidR="00BE5470"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ложение №</w:t>
                  </w:r>
                  <w:r w:rsidR="00815B84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BE5470" w:rsidRPr="00682787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9E2DBB" w:rsidRDefault="009F0934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к ре</w:t>
                  </w:r>
                  <w:r w:rsidR="00BE5470" w:rsidRPr="009E2DBB">
                    <w:rPr>
                      <w:rFonts w:ascii="Arial" w:eastAsia="Times New Roman" w:hAnsi="Arial" w:cs="Arial"/>
                      <w:sz w:val="20"/>
                      <w:szCs w:val="20"/>
                    </w:rPr>
                    <w:t>шению думы МО "Буреть"</w:t>
                  </w:r>
                </w:p>
              </w:tc>
            </w:tr>
            <w:tr w:rsidR="00BE5470" w:rsidRPr="00682787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9E2DBB" w:rsidRDefault="00BE5470" w:rsidP="00AA1927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2DB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№</w:t>
                  </w:r>
                  <w:r w:rsidR="00AA1927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42</w:t>
                  </w:r>
                  <w:r w:rsidR="00785EC5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 xml:space="preserve">от </w:t>
                  </w:r>
                  <w:r w:rsidR="009E2DBB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2</w:t>
                  </w:r>
                  <w:r w:rsidR="00AA1927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3</w:t>
                  </w:r>
                  <w:r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.</w:t>
                  </w:r>
                  <w:r w:rsidR="00664D35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0</w:t>
                  </w:r>
                  <w:r w:rsidR="00AA1927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5</w:t>
                  </w:r>
                  <w:r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.20</w:t>
                  </w:r>
                  <w:r w:rsidR="00664D35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19</w:t>
                  </w:r>
                </w:p>
              </w:tc>
            </w:tr>
            <w:tr w:rsidR="00BE5470" w:rsidRPr="00682787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682787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"О внесении изменений в решение думы</w:t>
                  </w:r>
                </w:p>
              </w:tc>
            </w:tr>
            <w:tr w:rsidR="00BE5470" w:rsidRPr="00682787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682787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№ 1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9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от 2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.12.201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8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</w:t>
                  </w:r>
                </w:p>
              </w:tc>
            </w:tr>
            <w:tr w:rsidR="00BE5470" w:rsidRPr="00682787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682787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"О бюджете МО "Буреть" на 201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9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и плановый период 20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-202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гг."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приложение №6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к решению думы МО "Буреть" 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№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19</w:t>
                  </w: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от 2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.12.201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"О бюджете МО "Буреть" на 201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9</w:t>
                  </w: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год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и плановый период 20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20</w:t>
                  </w: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-202</w:t>
                  </w:r>
                  <w:r w:rsidR="003F7321">
                    <w:rPr>
                      <w:rFonts w:ascii="Arial" w:eastAsia="Times New Roman" w:hAnsi="Arial" w:cs="Arial"/>
                      <w:sz w:val="20"/>
                      <w:szCs w:val="20"/>
                    </w:rPr>
                    <w:t>1</w:t>
                  </w: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гг."</w:t>
                  </w:r>
                </w:p>
              </w:tc>
            </w:tr>
            <w:tr w:rsidR="00BE5470" w:rsidRPr="00BE5470" w:rsidTr="00DC40F3">
              <w:trPr>
                <w:trHeight w:val="255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E5470" w:rsidRPr="00BE5470" w:rsidRDefault="00BE5470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E5470" w:rsidRPr="00BE5470" w:rsidTr="00DC40F3">
              <w:trPr>
                <w:trHeight w:val="390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5470" w:rsidRPr="00BE5470" w:rsidRDefault="009E2DBB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BE5470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РАСПРЕДЕЛЕНИЕ РАСХОДОВ ПО РАЗДЕЛАМ И ПОДРАЗДЕЛАМ</w:t>
                  </w:r>
                </w:p>
              </w:tc>
            </w:tr>
            <w:tr w:rsidR="00BE5470" w:rsidRPr="00BE5470" w:rsidTr="00DC40F3">
              <w:trPr>
                <w:trHeight w:val="390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5470" w:rsidRPr="00BE5470" w:rsidRDefault="009E2DBB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BE5470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ФУНКЦИОНАЛЬНОЙ КЛАССИФИКАЦИИ РАСХОДОВ БЮДЖЕТА</w:t>
                  </w:r>
                </w:p>
              </w:tc>
            </w:tr>
            <w:tr w:rsidR="00BE5470" w:rsidRPr="00BE5470" w:rsidTr="00DC40F3">
              <w:trPr>
                <w:trHeight w:val="390"/>
              </w:trPr>
              <w:tc>
                <w:tcPr>
                  <w:tcW w:w="10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5470" w:rsidRPr="00BE5470" w:rsidRDefault="009E2DBB" w:rsidP="009F093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BE5470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МО "БУРЕТЬ" НА 201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9</w:t>
                  </w:r>
                  <w:r w:rsidRPr="00BE5470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 ГОД И ПЛАНОВЫЙ ПЕРИОД </w:t>
                  </w:r>
                </w:p>
              </w:tc>
            </w:tr>
          </w:tbl>
          <w:p w:rsidR="00341B80" w:rsidRDefault="00341B80" w:rsidP="00DC40F3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tbl>
            <w:tblPr>
              <w:tblW w:w="9687" w:type="dxa"/>
              <w:tblLook w:val="04A0" w:firstRow="1" w:lastRow="0" w:firstColumn="1" w:lastColumn="0" w:noHBand="0" w:noVBand="1"/>
            </w:tblPr>
            <w:tblGrid>
              <w:gridCol w:w="17"/>
              <w:gridCol w:w="267"/>
              <w:gridCol w:w="5517"/>
              <w:gridCol w:w="17"/>
              <w:gridCol w:w="935"/>
              <w:gridCol w:w="952"/>
              <w:gridCol w:w="1982"/>
            </w:tblGrid>
            <w:tr w:rsidR="00DC40F3" w:rsidRPr="00DF48C2" w:rsidTr="00DC40F3">
              <w:trPr>
                <w:gridBefore w:val="1"/>
                <w:gridAfter w:val="3"/>
                <w:wBefore w:w="17" w:type="dxa"/>
                <w:wAfter w:w="3869" w:type="dxa"/>
                <w:trHeight w:val="330"/>
              </w:trPr>
              <w:tc>
                <w:tcPr>
                  <w:tcW w:w="580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DF48C2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DC40F3" w:rsidTr="00DC40F3">
              <w:trPr>
                <w:trHeight w:val="487"/>
              </w:trPr>
              <w:tc>
                <w:tcPr>
                  <w:tcW w:w="580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 xml:space="preserve"> наименование статьи расходов</w:t>
                  </w:r>
                </w:p>
              </w:tc>
              <w:tc>
                <w:tcPr>
                  <w:tcW w:w="952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РЗ</w:t>
                  </w:r>
                </w:p>
              </w:tc>
              <w:tc>
                <w:tcPr>
                  <w:tcW w:w="95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ПРЗ</w:t>
                  </w:r>
                </w:p>
              </w:tc>
              <w:tc>
                <w:tcPr>
                  <w:tcW w:w="1982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план 2019 (руб.)</w:t>
                  </w:r>
                </w:p>
              </w:tc>
            </w:tr>
            <w:tr w:rsidR="00DC40F3" w:rsidTr="00DC40F3">
              <w:trPr>
                <w:trHeight w:val="487"/>
              </w:trPr>
              <w:tc>
                <w:tcPr>
                  <w:tcW w:w="580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52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5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1982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</w:p>
              </w:tc>
            </w:tr>
            <w:tr w:rsidR="00DC40F3" w:rsidTr="00DC40F3">
              <w:trPr>
                <w:trHeight w:val="330"/>
              </w:trPr>
              <w:tc>
                <w:tcPr>
                  <w:tcW w:w="9687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Администрация МО "Буреть"</w:t>
                  </w:r>
                </w:p>
              </w:tc>
            </w:tr>
            <w:tr w:rsidR="00DC40F3" w:rsidTr="00DC40F3">
              <w:trPr>
                <w:trHeight w:val="660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5 482 399,00</w:t>
                  </w:r>
                </w:p>
              </w:tc>
            </w:tr>
            <w:tr w:rsidR="00DC40F3" w:rsidTr="00DC40F3">
              <w:trPr>
                <w:trHeight w:val="61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Глава администрации муници</w:t>
                  </w:r>
                  <w:r>
                    <w:rPr>
                      <w:rFonts w:ascii="Courier New" w:hAnsi="Courier New" w:cs="Courier New"/>
                    </w:rPr>
                    <w:cr/>
                    <w:t>ального образования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848 615,18</w:t>
                  </w:r>
                </w:p>
              </w:tc>
            </w:tr>
            <w:tr w:rsidR="00DC40F3" w:rsidTr="00DC40F3">
              <w:trPr>
                <w:trHeight w:val="390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Функции местных администраций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04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4 623 083,82</w:t>
                  </w:r>
                </w:p>
              </w:tc>
            </w:tr>
            <w:tr w:rsidR="00DC40F3" w:rsidTr="00DC40F3">
              <w:trPr>
                <w:trHeight w:val="390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Обеспечение выборов и референдумов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07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DC40F3" w:rsidTr="00DC40F3">
              <w:trPr>
                <w:trHeight w:val="390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Резервный фонд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10 000,00</w:t>
                  </w:r>
                </w:p>
              </w:tc>
            </w:tr>
            <w:tr w:rsidR="00DC40F3" w:rsidTr="00DC40F3">
              <w:trPr>
                <w:trHeight w:val="390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Другие общегосударственные расходы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13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700,00</w:t>
                  </w:r>
                </w:p>
              </w:tc>
            </w:tr>
            <w:tr w:rsidR="00DC40F3" w:rsidTr="00DC40F3">
              <w:trPr>
                <w:trHeight w:val="390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Мобилизационная и вневойсковая подготов</w:t>
                  </w:r>
                  <w:r>
                    <w:rPr>
                      <w:rFonts w:ascii="Courier New" w:hAnsi="Courier New" w:cs="Courier New"/>
                      <w:b/>
                      <w:bCs/>
                    </w:rPr>
                    <w:cr/>
                    <w:t>а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02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115 100,00</w:t>
                  </w:r>
                </w:p>
              </w:tc>
            </w:tr>
            <w:tr w:rsidR="00DC40F3" w:rsidTr="00DC40F3">
              <w:trPr>
                <w:trHeight w:val="103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Осуществление первичного воинского учета на территориях, где отсутствует воен. комиссариата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02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03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115 100,00</w:t>
                  </w:r>
                </w:p>
              </w:tc>
            </w:tr>
            <w:tr w:rsidR="00DC40F3" w:rsidTr="00DC40F3">
              <w:trPr>
                <w:trHeight w:val="103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Защита населения и территорий от чрезвычайных ситуаций природного и техногенного характера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342 840,00</w:t>
                  </w:r>
                </w:p>
              </w:tc>
            </w:tr>
            <w:tr w:rsidR="00DC40F3" w:rsidTr="00DC40F3">
              <w:trPr>
                <w:trHeight w:val="43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Работы услуги по</w:t>
                  </w:r>
                  <w:r>
                    <w:rPr>
                      <w:rFonts w:ascii="Courier New" w:hAnsi="Courier New" w:cs="Courier New"/>
                    </w:rPr>
                    <w:cr/>
                    <w:t>содержанию имущества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03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09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342 840,00</w:t>
                  </w:r>
                </w:p>
              </w:tc>
            </w:tr>
            <w:tr w:rsidR="00DC40F3" w:rsidTr="00DC40F3">
              <w:trPr>
                <w:trHeight w:val="37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2 758 384,64</w:t>
                  </w:r>
                </w:p>
              </w:tc>
            </w:tr>
            <w:tr w:rsidR="00DC40F3" w:rsidTr="00DC40F3">
              <w:trPr>
                <w:trHeight w:val="37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Общеэкономические вопросы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33 600,00</w:t>
                  </w:r>
                </w:p>
              </w:tc>
            </w:tr>
            <w:tr w:rsidR="00DC40F3" w:rsidTr="00DC40F3">
              <w:trPr>
                <w:trHeight w:val="37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09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2 724 784,64</w:t>
                  </w:r>
                </w:p>
              </w:tc>
            </w:tr>
            <w:tr w:rsidR="00DC40F3" w:rsidTr="00DC40F3">
              <w:trPr>
                <w:trHeight w:val="660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lastRenderedPageBreak/>
                    <w:t>Другие вопросы в области национальной экономики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12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Коммунальное хозяйство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02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Благоустройство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05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03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0,00</w:t>
                  </w:r>
                </w:p>
              </w:tc>
            </w:tr>
            <w:tr w:rsidR="00DC40F3" w:rsidTr="00DC40F3">
              <w:trPr>
                <w:trHeight w:val="64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06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32 900,00</w:t>
                  </w:r>
                </w:p>
              </w:tc>
            </w:tr>
            <w:tr w:rsidR="00DC40F3" w:rsidTr="00DC40F3">
              <w:trPr>
                <w:trHeight w:val="64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Софинансирования ТБО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06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05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32 900,00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Культура и искусство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08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2 409 899,00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 xml:space="preserve">Культура 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08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2 409 899,00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Пенсио</w:t>
                  </w:r>
                  <w:r>
                    <w:rPr>
                      <w:rFonts w:ascii="Courier New" w:hAnsi="Courier New" w:cs="Courier New"/>
                    </w:rPr>
                    <w:cr/>
                    <w:t>ное обеспечение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10</w:t>
                  </w:r>
                </w:p>
              </w:tc>
              <w:tc>
                <w:tcPr>
                  <w:tcW w:w="9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198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132 000,00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01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132 000,00</w:t>
                  </w:r>
                </w:p>
              </w:tc>
            </w:tr>
            <w:tr w:rsidR="00DC40F3" w:rsidTr="00DC40F3">
              <w:trPr>
                <w:trHeight w:val="405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Межбюджетные трансферты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0,00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35 562,00</w:t>
                  </w:r>
                </w:p>
              </w:tc>
            </w:tr>
            <w:tr w:rsidR="00DC40F3" w:rsidTr="00DC40F3">
              <w:trPr>
                <w:trHeight w:val="615"/>
              </w:trPr>
              <w:tc>
                <w:tcPr>
                  <w:tcW w:w="5801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Прочие МБТ из бюджета поселения в бюджет района (переданные полномочия)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14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03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</w:rPr>
                  </w:pPr>
                  <w:r>
                    <w:rPr>
                      <w:rFonts w:ascii="Courier New" w:hAnsi="Courier New" w:cs="Courier New"/>
                    </w:rPr>
                    <w:t>35 562,00</w:t>
                  </w:r>
                </w:p>
              </w:tc>
            </w:tr>
            <w:tr w:rsidR="00DC40F3" w:rsidTr="00DC40F3">
              <w:trPr>
                <w:trHeight w:val="510"/>
              </w:trPr>
              <w:tc>
                <w:tcPr>
                  <w:tcW w:w="5801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9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95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82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hAnsi="Courier New" w:cs="Courier New"/>
                      <w:b/>
                      <w:bCs/>
                    </w:rPr>
                  </w:pPr>
                  <w:r>
                    <w:rPr>
                      <w:rFonts w:ascii="Courier New" w:hAnsi="Courier New" w:cs="Courier New"/>
                      <w:b/>
                      <w:bCs/>
                    </w:rPr>
                    <w:t>11 309 084,64</w:t>
                  </w:r>
                </w:p>
              </w:tc>
            </w:tr>
            <w:tr w:rsidR="00DC40F3" w:rsidRPr="00DF48C2" w:rsidTr="00DC40F3">
              <w:trPr>
                <w:gridBefore w:val="1"/>
                <w:gridAfter w:val="5"/>
                <w:wBefore w:w="17" w:type="dxa"/>
                <w:wAfter w:w="9403" w:type="dxa"/>
                <w:trHeight w:val="270"/>
              </w:trPr>
              <w:tc>
                <w:tcPr>
                  <w:tcW w:w="26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DF48C2" w:rsidRDefault="00DC40F3" w:rsidP="00DC40F3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pPr w:leftFromText="180" w:rightFromText="180" w:vertAnchor="text" w:tblpY="1"/>
              <w:tblOverlap w:val="never"/>
              <w:tblW w:w="9903" w:type="dxa"/>
              <w:tblLook w:val="04A0" w:firstRow="1" w:lastRow="0" w:firstColumn="1" w:lastColumn="0" w:noHBand="0" w:noVBand="1"/>
            </w:tblPr>
            <w:tblGrid>
              <w:gridCol w:w="9687"/>
            </w:tblGrid>
            <w:tr w:rsidR="00DC40F3" w:rsidRPr="00BE5470" w:rsidTr="00DC40F3">
              <w:trPr>
                <w:trHeight w:val="25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BE5470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E5470">
                    <w:rPr>
                      <w:rFonts w:ascii="Arial" w:eastAsia="Times New Roman" w:hAnsi="Arial" w:cs="Arial"/>
                      <w:sz w:val="20"/>
                      <w:szCs w:val="20"/>
                    </w:rPr>
                    <w:t>приложение №</w:t>
                  </w:r>
                  <w:r w:rsidR="00815B84">
                    <w:rPr>
                      <w:rFonts w:ascii="Arial" w:eastAsia="Times New Roman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DC40F3" w:rsidRPr="009E2DBB" w:rsidTr="00DC40F3">
              <w:trPr>
                <w:trHeight w:val="25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9E2DBB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2DBB">
                    <w:rPr>
                      <w:rFonts w:ascii="Arial" w:eastAsia="Times New Roman" w:hAnsi="Arial" w:cs="Arial"/>
                      <w:sz w:val="20"/>
                      <w:szCs w:val="20"/>
                    </w:rPr>
                    <w:t>к решению думы МО "Буреть"</w:t>
                  </w:r>
                </w:p>
              </w:tc>
            </w:tr>
            <w:tr w:rsidR="00DC40F3" w:rsidRPr="009E2DBB" w:rsidTr="00DC40F3">
              <w:trPr>
                <w:trHeight w:val="25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9E2DBB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9E2DB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AA1927" w:rsidRPr="009E2DBB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r w:rsidR="00AA1927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№</w:t>
                  </w:r>
                  <w:r w:rsidR="00AA1927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42</w:t>
                  </w:r>
                  <w:r w:rsidR="00AA1927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 xml:space="preserve"> от 2</w:t>
                  </w:r>
                  <w:r w:rsidR="00AA1927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3</w:t>
                  </w:r>
                  <w:r w:rsidR="00AA1927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.0</w:t>
                  </w:r>
                  <w:r w:rsidR="00AA1927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5</w:t>
                  </w:r>
                  <w:r w:rsidR="00AA1927" w:rsidRPr="009F0934">
                    <w:rPr>
                      <w:rFonts w:ascii="Arial" w:eastAsia="Times New Roman" w:hAnsi="Arial" w:cs="Arial"/>
                      <w:sz w:val="20"/>
                      <w:szCs w:val="20"/>
                      <w:highlight w:val="yellow"/>
                    </w:rPr>
                    <w:t>.2019</w:t>
                  </w:r>
                  <w:bookmarkStart w:id="0" w:name="_GoBack"/>
                  <w:bookmarkEnd w:id="0"/>
                </w:p>
              </w:tc>
            </w:tr>
            <w:tr w:rsidR="00DC40F3" w:rsidRPr="00682787" w:rsidTr="00DC40F3">
              <w:trPr>
                <w:trHeight w:val="25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682787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"О внесении изменений в решение думы</w:t>
                  </w:r>
                </w:p>
              </w:tc>
            </w:tr>
            <w:tr w:rsidR="00DC40F3" w:rsidRPr="00682787" w:rsidTr="00DC40F3">
              <w:trPr>
                <w:trHeight w:val="25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682787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№ 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9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от 2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>.12.201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8</w:t>
                  </w:r>
                  <w:r w:rsidRPr="00682787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г</w:t>
                  </w:r>
                </w:p>
              </w:tc>
            </w:tr>
            <w:tr w:rsidR="00DC40F3" w:rsidRPr="00404AF0" w:rsidTr="00DC40F3">
              <w:trPr>
                <w:trHeight w:val="25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404AF0" w:rsidRDefault="00DC40F3" w:rsidP="00AA192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</w:rPr>
                  </w:pPr>
                </w:p>
              </w:tc>
            </w:tr>
            <w:tr w:rsidR="00DC40F3" w:rsidRPr="00404AF0" w:rsidTr="00DC40F3">
              <w:trPr>
                <w:trHeight w:val="31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404AF0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404AF0">
                    <w:rPr>
                      <w:rFonts w:ascii="Arial" w:eastAsia="Times New Roman" w:hAnsi="Arial" w:cs="Arial"/>
                    </w:rPr>
                    <w:t>Приложение №7</w:t>
                  </w:r>
                </w:p>
              </w:tc>
            </w:tr>
            <w:tr w:rsidR="00DC40F3" w:rsidRPr="00404AF0" w:rsidTr="00DC40F3">
              <w:trPr>
                <w:trHeight w:val="31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404AF0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404AF0">
                    <w:rPr>
                      <w:rFonts w:ascii="Arial" w:eastAsia="Times New Roman" w:hAnsi="Arial" w:cs="Arial"/>
                    </w:rPr>
                    <w:t xml:space="preserve">к решению думы МО "Буреть" </w:t>
                  </w:r>
                </w:p>
              </w:tc>
            </w:tr>
            <w:tr w:rsidR="00DC40F3" w:rsidRPr="00404AF0" w:rsidTr="00DC40F3">
              <w:trPr>
                <w:trHeight w:val="31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404AF0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404AF0">
                    <w:rPr>
                      <w:rFonts w:ascii="Arial" w:eastAsia="Times New Roman" w:hAnsi="Arial" w:cs="Arial"/>
                    </w:rPr>
                    <w:t>№</w:t>
                  </w:r>
                  <w:r>
                    <w:rPr>
                      <w:rFonts w:ascii="Arial" w:eastAsia="Times New Roman" w:hAnsi="Arial" w:cs="Arial"/>
                    </w:rPr>
                    <w:t>19</w:t>
                  </w:r>
                  <w:r w:rsidRPr="00404AF0">
                    <w:rPr>
                      <w:rFonts w:ascii="Arial" w:eastAsia="Times New Roman" w:hAnsi="Arial" w:cs="Arial"/>
                    </w:rPr>
                    <w:t xml:space="preserve"> от 2</w:t>
                  </w:r>
                  <w:r>
                    <w:rPr>
                      <w:rFonts w:ascii="Arial" w:eastAsia="Times New Roman" w:hAnsi="Arial" w:cs="Arial"/>
                    </w:rPr>
                    <w:t>7</w:t>
                  </w:r>
                  <w:r w:rsidRPr="00404AF0">
                    <w:rPr>
                      <w:rFonts w:ascii="Arial" w:eastAsia="Times New Roman" w:hAnsi="Arial" w:cs="Arial"/>
                    </w:rPr>
                    <w:t>.12.201</w:t>
                  </w:r>
                  <w:r>
                    <w:rPr>
                      <w:rFonts w:ascii="Arial" w:eastAsia="Times New Roman" w:hAnsi="Arial" w:cs="Arial"/>
                    </w:rPr>
                    <w:t>8</w:t>
                  </w:r>
                </w:p>
              </w:tc>
            </w:tr>
            <w:tr w:rsidR="00DC40F3" w:rsidRPr="00404AF0" w:rsidTr="00DC40F3">
              <w:trPr>
                <w:trHeight w:val="315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404AF0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404AF0">
                    <w:rPr>
                      <w:rFonts w:ascii="Arial" w:eastAsia="Times New Roman" w:hAnsi="Arial" w:cs="Arial"/>
                    </w:rPr>
                    <w:t>"О бюджете МО "Буреть" на 201</w:t>
                  </w:r>
                  <w:r>
                    <w:rPr>
                      <w:rFonts w:ascii="Arial" w:eastAsia="Times New Roman" w:hAnsi="Arial" w:cs="Arial"/>
                    </w:rPr>
                    <w:t>9</w:t>
                  </w:r>
                  <w:r w:rsidRPr="00404AF0">
                    <w:rPr>
                      <w:rFonts w:ascii="Arial" w:eastAsia="Times New Roman" w:hAnsi="Arial" w:cs="Arial"/>
                    </w:rPr>
                    <w:t xml:space="preserve"> год</w:t>
                  </w:r>
                </w:p>
              </w:tc>
            </w:tr>
            <w:tr w:rsidR="00DC40F3" w:rsidRPr="00404AF0" w:rsidTr="00DC40F3">
              <w:trPr>
                <w:trHeight w:val="330"/>
              </w:trPr>
              <w:tc>
                <w:tcPr>
                  <w:tcW w:w="99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40F3" w:rsidRPr="00404AF0" w:rsidRDefault="00DC40F3" w:rsidP="00AA192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</w:rPr>
                  </w:pPr>
                  <w:r w:rsidRPr="00404AF0">
                    <w:rPr>
                      <w:rFonts w:ascii="Arial" w:eastAsia="Times New Roman" w:hAnsi="Arial" w:cs="Arial"/>
                    </w:rPr>
                    <w:t>и плановый период 20</w:t>
                  </w:r>
                  <w:r>
                    <w:rPr>
                      <w:rFonts w:ascii="Arial" w:eastAsia="Times New Roman" w:hAnsi="Arial" w:cs="Arial"/>
                    </w:rPr>
                    <w:t>20</w:t>
                  </w:r>
                  <w:r w:rsidRPr="00404AF0">
                    <w:rPr>
                      <w:rFonts w:ascii="Arial" w:eastAsia="Times New Roman" w:hAnsi="Arial" w:cs="Arial"/>
                    </w:rPr>
                    <w:t>-202</w:t>
                  </w:r>
                  <w:r>
                    <w:rPr>
                      <w:rFonts w:ascii="Arial" w:eastAsia="Times New Roman" w:hAnsi="Arial" w:cs="Arial"/>
                    </w:rPr>
                    <w:t>1</w:t>
                  </w:r>
                  <w:r w:rsidRPr="00404AF0">
                    <w:rPr>
                      <w:rFonts w:ascii="Arial" w:eastAsia="Times New Roman" w:hAnsi="Arial" w:cs="Arial"/>
                    </w:rPr>
                    <w:t xml:space="preserve"> гг."</w:t>
                  </w:r>
                </w:p>
              </w:tc>
            </w:tr>
          </w:tbl>
          <w:p w:rsidR="00D93FE4" w:rsidRPr="00DC40F3" w:rsidRDefault="00D93FE4" w:rsidP="00DC40F3">
            <w:pPr>
              <w:rPr>
                <w:rFonts w:ascii="Arial" w:eastAsia="Times New Roman" w:hAnsi="Arial" w:cs="Arial"/>
              </w:rPr>
            </w:pPr>
          </w:p>
        </w:tc>
      </w:tr>
    </w:tbl>
    <w:p w:rsidR="00DC40F3" w:rsidRDefault="00DC40F3" w:rsidP="009E2DBB">
      <w:pPr>
        <w:tabs>
          <w:tab w:val="left" w:pos="9432"/>
        </w:tabs>
        <w:spacing w:after="0" w:line="240" w:lineRule="auto"/>
        <w:ind w:right="-851"/>
        <w:jc w:val="right"/>
        <w:rPr>
          <w:rFonts w:ascii="Arial" w:hAnsi="Arial" w:cs="Arial"/>
          <w:b/>
          <w:sz w:val="24"/>
          <w:szCs w:val="24"/>
        </w:rPr>
      </w:pPr>
    </w:p>
    <w:p w:rsidR="00DC40F3" w:rsidRDefault="00DC40F3" w:rsidP="00DC40F3">
      <w:pPr>
        <w:tabs>
          <w:tab w:val="left" w:pos="3318"/>
          <w:tab w:val="left" w:pos="9432"/>
        </w:tabs>
        <w:spacing w:after="0" w:line="240" w:lineRule="auto"/>
        <w:ind w:right="-851"/>
        <w:jc w:val="center"/>
        <w:rPr>
          <w:rFonts w:ascii="Arial" w:hAnsi="Arial" w:cs="Arial"/>
          <w:b/>
          <w:sz w:val="24"/>
          <w:szCs w:val="24"/>
        </w:rPr>
      </w:pPr>
      <w:r w:rsidRPr="00DC40F3">
        <w:rPr>
          <w:rFonts w:ascii="Arial" w:eastAsia="Times New Roman" w:hAnsi="Arial" w:cs="Arial"/>
          <w:b/>
          <w:bCs/>
          <w:sz w:val="30"/>
          <w:szCs w:val="30"/>
        </w:rPr>
        <w:t>ВЕДОМСТВЕННАЯ СТРУКТУРА РАСХОДОВ МУНИЦИПАЛЬНОГО ОБРАЗОВАНИЯ "БУРЕТЬ" НА 2019 ГОД.</w:t>
      </w:r>
    </w:p>
    <w:p w:rsidR="0082521D" w:rsidRDefault="00DC40F3" w:rsidP="00DC40F3">
      <w:pPr>
        <w:tabs>
          <w:tab w:val="left" w:pos="9432"/>
        </w:tabs>
        <w:spacing w:after="0" w:line="240" w:lineRule="auto"/>
        <w:ind w:right="-85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DF48C2">
        <w:rPr>
          <w:rFonts w:ascii="Arial" w:hAnsi="Arial" w:cs="Arial"/>
          <w:b/>
          <w:sz w:val="24"/>
          <w:szCs w:val="24"/>
        </w:rPr>
        <w:t>Руб.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276"/>
        <w:gridCol w:w="567"/>
        <w:gridCol w:w="425"/>
        <w:gridCol w:w="567"/>
        <w:gridCol w:w="2268"/>
        <w:gridCol w:w="850"/>
        <w:gridCol w:w="1985"/>
      </w:tblGrid>
      <w:tr w:rsidR="008000FA" w:rsidRPr="008000FA" w:rsidTr="008000FA">
        <w:trPr>
          <w:trHeight w:val="600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план  2019</w:t>
            </w:r>
          </w:p>
        </w:tc>
      </w:tr>
      <w:tr w:rsidR="008000FA" w:rsidRPr="008000FA" w:rsidTr="008000FA">
        <w:trPr>
          <w:trHeight w:val="39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ind w:right="897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>
              <w:rPr>
                <w:rFonts w:ascii="Courier New" w:eastAsia="Times New Roman" w:hAnsi="Courier New" w:cs="Courier New"/>
                <w:b/>
                <w:bCs/>
              </w:rPr>
              <w:t>В</w:t>
            </w:r>
            <w:r w:rsidRPr="008000FA">
              <w:rPr>
                <w:rFonts w:ascii="Courier New" w:eastAsia="Times New Roman" w:hAnsi="Courier New" w:cs="Courier New"/>
                <w:b/>
                <w:bCs/>
              </w:rPr>
              <w:t>Р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8000FA" w:rsidRPr="008000FA" w:rsidTr="008000FA">
        <w:trPr>
          <w:trHeight w:val="3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11 309 084,64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5 032 399,00</w:t>
            </w:r>
          </w:p>
        </w:tc>
      </w:tr>
      <w:tr w:rsidR="008000FA" w:rsidRPr="008000FA" w:rsidTr="008000FA">
        <w:trPr>
          <w:trHeight w:val="8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lastRenderedPageBreak/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8000FA" w:rsidRPr="008000FA" w:rsidTr="008000FA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651 778,18</w:t>
            </w:r>
          </w:p>
        </w:tc>
      </w:tr>
      <w:tr w:rsidR="008000FA" w:rsidRPr="008000FA" w:rsidTr="008000FA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196 837,00</w:t>
            </w:r>
          </w:p>
        </w:tc>
      </w:tr>
      <w:tr w:rsidR="008000FA" w:rsidRPr="008000FA" w:rsidTr="008000FA">
        <w:trPr>
          <w:trHeight w:val="9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4 173 083,82</w:t>
            </w:r>
          </w:p>
        </w:tc>
      </w:tr>
      <w:tr w:rsidR="008000FA" w:rsidRPr="008000FA" w:rsidTr="008000FA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4 173 083,82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4 173 083,82</w:t>
            </w:r>
          </w:p>
        </w:tc>
      </w:tr>
      <w:tr w:rsidR="008000FA" w:rsidRPr="008000FA" w:rsidTr="008000FA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4 173 083,82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2 672 900,00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1 672 900,00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1 000 000,00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1 036 515,82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19 080,00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891 435,82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26 000,00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100 000,00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275 000,00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260 000,00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  <w:r w:rsidRPr="008000FA">
              <w:rPr>
                <w:rFonts w:ascii="Courier New" w:eastAsia="Times New Roman" w:hAnsi="Courier New" w:cs="Courier New"/>
              </w:rPr>
              <w:lastRenderedPageBreak/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lastRenderedPageBreak/>
              <w:t>0</w:t>
            </w:r>
            <w:r w:rsidRPr="008000FA">
              <w:rPr>
                <w:rFonts w:ascii="Courier New" w:eastAsia="Times New Roman" w:hAnsi="Courier New" w:cs="Courier New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lastRenderedPageBreak/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lastRenderedPageBreak/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188 668,00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38 000,00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150 668,00</w:t>
            </w:r>
          </w:p>
        </w:tc>
      </w:tr>
      <w:tr w:rsidR="008000FA" w:rsidRPr="008000FA" w:rsidTr="008000FA">
        <w:trPr>
          <w:trHeight w:val="37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07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8000FA" w:rsidRPr="008000FA" w:rsidTr="008000FA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880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00FA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00FA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00F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700,00</w:t>
            </w:r>
          </w:p>
        </w:tc>
      </w:tr>
      <w:tr w:rsidR="008000FA" w:rsidRPr="008000FA" w:rsidTr="008000FA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00FA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8000FA" w:rsidRPr="008000FA" w:rsidTr="008000FA">
        <w:trPr>
          <w:trHeight w:val="5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8000FA" w:rsidRPr="008000FA" w:rsidTr="008000FA">
        <w:trPr>
          <w:trHeight w:val="9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8000FA" w:rsidRPr="008000FA" w:rsidTr="008000FA">
        <w:trPr>
          <w:trHeight w:val="5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106 696,32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81 948,00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24 748,32</w:t>
            </w:r>
          </w:p>
        </w:tc>
      </w:tr>
      <w:tr w:rsidR="008000FA" w:rsidRPr="008000FA" w:rsidTr="008000FA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8 403,68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8000FA">
              <w:rPr>
                <w:rFonts w:ascii="Courier New" w:eastAsia="Times New Roman" w:hAnsi="Courier New" w:cs="Courier New"/>
                <w:sz w:val="20"/>
                <w:szCs w:val="20"/>
              </w:rPr>
              <w:t>Услуги связи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Транспортные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7 503,68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lastRenderedPageBreak/>
              <w:t>Канцтовары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900,00</w:t>
            </w:r>
          </w:p>
        </w:tc>
      </w:tr>
      <w:tr w:rsidR="008000FA" w:rsidRPr="008000FA" w:rsidTr="008000FA">
        <w:trPr>
          <w:trHeight w:val="96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342 840,00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 xml:space="preserve">801 80 02 225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342 840,00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2 758 384,64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33 600,00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31 919,88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24 516,00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7 403,88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1 680,12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2 724 784,64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2 415 194,64</w:t>
            </w:r>
          </w:p>
        </w:tc>
      </w:tr>
      <w:tr w:rsidR="008000FA" w:rsidRPr="008000FA" w:rsidTr="008000FA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309 590,00</w:t>
            </w:r>
          </w:p>
        </w:tc>
      </w:tr>
      <w:tr w:rsidR="008000FA" w:rsidRPr="008000FA" w:rsidTr="008000FA">
        <w:trPr>
          <w:trHeight w:val="31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00FA" w:rsidRPr="008000FA" w:rsidTr="008000FA">
        <w:trPr>
          <w:trHeight w:val="40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8000FA" w:rsidRPr="008000FA" w:rsidTr="008000FA">
        <w:trPr>
          <w:trHeight w:val="28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06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000F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32 900,0</w:t>
            </w:r>
          </w:p>
        </w:tc>
      </w:tr>
      <w:tr w:rsidR="008000FA" w:rsidRPr="008000FA" w:rsidTr="008000FA">
        <w:trPr>
          <w:trHeight w:val="2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8000FA">
              <w:rPr>
                <w:rFonts w:ascii="Courier New" w:eastAsia="Times New Roman" w:hAnsi="Courier New" w:cs="Courier New"/>
                <w:sz w:val="20"/>
                <w:szCs w:val="20"/>
              </w:rPr>
              <w:t>Софинансирование</w:t>
            </w:r>
            <w:proofErr w:type="spellEnd"/>
            <w:r w:rsidRPr="008000FA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ТБО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000FA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32 900,0</w:t>
            </w:r>
          </w:p>
        </w:tc>
      </w:tr>
      <w:tr w:rsidR="008000FA" w:rsidRPr="008000FA" w:rsidTr="008000FA">
        <w:trPr>
          <w:trHeight w:val="6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2 859 899,00</w:t>
            </w:r>
          </w:p>
        </w:tc>
      </w:tr>
      <w:tr w:rsidR="008000FA" w:rsidRPr="008000FA" w:rsidTr="008000FA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2 859 899,00</w:t>
            </w:r>
          </w:p>
        </w:tc>
      </w:tr>
      <w:tr w:rsidR="008000FA" w:rsidRPr="008000FA" w:rsidTr="008000FA">
        <w:trPr>
          <w:trHeight w:val="67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1 650 000,00</w:t>
            </w:r>
          </w:p>
        </w:tc>
      </w:tr>
      <w:tr w:rsidR="008000FA" w:rsidRPr="008000FA" w:rsidTr="008000FA">
        <w:trPr>
          <w:trHeight w:val="675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Субсидии бюджетным учреждениям на выполнение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820 000,00</w:t>
            </w:r>
          </w:p>
        </w:tc>
      </w:tr>
      <w:tr w:rsidR="008000FA" w:rsidRPr="008000FA" w:rsidTr="008000FA">
        <w:trPr>
          <w:trHeight w:val="87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перечень проектов народных инициатив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803 80 </w:t>
            </w:r>
            <w:r w:rsidRPr="008000F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</w:t>
            </w:r>
            <w:r w:rsidRPr="008000FA">
              <w:rPr>
                <w:rFonts w:ascii="Courier New" w:eastAsia="Times New Roman" w:hAnsi="Courier New" w:cs="Courier New"/>
                <w:b/>
                <w:bCs/>
              </w:rPr>
              <w:t>2 370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611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389 899,00</w:t>
            </w:r>
          </w:p>
        </w:tc>
      </w:tr>
      <w:tr w:rsidR="008000FA" w:rsidRPr="008000FA" w:rsidTr="008000FA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lastRenderedPageBreak/>
              <w:t>Областной бюджет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803 80 </w:t>
            </w:r>
            <w:r w:rsidRPr="008000F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</w:t>
            </w:r>
            <w:r w:rsidRPr="008000FA">
              <w:rPr>
                <w:rFonts w:ascii="Courier New" w:eastAsia="Times New Roman" w:hAnsi="Courier New" w:cs="Courier New"/>
                <w:b/>
                <w:bCs/>
              </w:rPr>
              <w:t>2 370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386 000,00</w:t>
            </w:r>
          </w:p>
        </w:tc>
      </w:tr>
      <w:tr w:rsidR="008000FA" w:rsidRPr="008000FA" w:rsidTr="008000FA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Местный бюдже</w:t>
            </w:r>
            <w:proofErr w:type="gramStart"/>
            <w:r w:rsidRPr="008000FA">
              <w:rPr>
                <w:rFonts w:ascii="Courier New" w:eastAsia="Times New Roman" w:hAnsi="Courier New" w:cs="Courier New"/>
              </w:rPr>
              <w:t>т(</w:t>
            </w:r>
            <w:proofErr w:type="spellStart"/>
            <w:proofErr w:type="gramEnd"/>
            <w:r w:rsidRPr="008000FA">
              <w:rPr>
                <w:rFonts w:ascii="Courier New" w:eastAsia="Times New Roman" w:hAnsi="Courier New" w:cs="Courier New"/>
              </w:rPr>
              <w:t>Софинансирование</w:t>
            </w:r>
            <w:proofErr w:type="spellEnd"/>
            <w:r w:rsidRPr="008000FA">
              <w:rPr>
                <w:rFonts w:ascii="Courier New" w:eastAsia="Times New Roman" w:hAnsi="Courier New" w:cs="Courier New"/>
              </w:rPr>
              <w:t>)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 xml:space="preserve">803 80 </w:t>
            </w:r>
            <w:r w:rsidRPr="008000FA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</w:t>
            </w:r>
            <w:r w:rsidRPr="008000FA">
              <w:rPr>
                <w:rFonts w:ascii="Courier New" w:eastAsia="Times New Roman" w:hAnsi="Courier New" w:cs="Courier New"/>
                <w:b/>
                <w:bCs/>
              </w:rPr>
              <w:t>2 370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611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3 899,00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132 000,00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132 000,00</w:t>
            </w:r>
          </w:p>
        </w:tc>
      </w:tr>
      <w:tr w:rsidR="008000FA" w:rsidRPr="008000FA" w:rsidTr="008000FA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8000FA">
              <w:rPr>
                <w:rFonts w:ascii="Courier New" w:eastAsia="Times New Roman" w:hAnsi="Courier New" w:cs="Courier New"/>
                <w:b/>
                <w:bCs/>
              </w:rPr>
              <w:t>35 562,00</w:t>
            </w:r>
          </w:p>
        </w:tc>
      </w:tr>
      <w:tr w:rsidR="008000FA" w:rsidRPr="008000FA" w:rsidTr="008000FA">
        <w:trPr>
          <w:trHeight w:val="66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00FA" w:rsidRPr="008000FA" w:rsidRDefault="008000FA" w:rsidP="008000FA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8000FA">
              <w:rPr>
                <w:rFonts w:ascii="Courier New" w:eastAsia="Times New Roman" w:hAnsi="Courier New" w:cs="Courier New"/>
              </w:rPr>
              <w:t>35 562,00</w:t>
            </w:r>
          </w:p>
        </w:tc>
      </w:tr>
    </w:tbl>
    <w:p w:rsidR="00815B84" w:rsidRDefault="00815B84" w:rsidP="00F12F50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p w:rsidR="00815B84" w:rsidRDefault="00815B84" w:rsidP="00815B84">
      <w:pPr>
        <w:rPr>
          <w:rFonts w:ascii="Arial" w:hAnsi="Arial" w:cs="Arial"/>
          <w:sz w:val="24"/>
          <w:szCs w:val="24"/>
        </w:rPr>
      </w:pPr>
    </w:p>
    <w:p w:rsidR="00815B84" w:rsidRDefault="00815B84" w:rsidP="00815B84">
      <w:pPr>
        <w:tabs>
          <w:tab w:val="left" w:pos="344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ПОЯСНИТЕЛЬНАЯ ЗАПИСКА </w:t>
      </w:r>
    </w:p>
    <w:p w:rsidR="00815B84" w:rsidRDefault="00815B84" w:rsidP="00815B84">
      <w:pPr>
        <w:tabs>
          <w:tab w:val="left" w:pos="344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решению Думы №___от ___05.2019 «О внесении изменений в решение Думы №19 от 27 декабря 2018 г. «О бюджете муниципального образования «Буреть» на 2019 год и плановый период 2020-2021 гг.</w:t>
      </w:r>
    </w:p>
    <w:p w:rsidR="00815B84" w:rsidRDefault="00815B84" w:rsidP="00815B84">
      <w:pPr>
        <w:tabs>
          <w:tab w:val="left" w:pos="3443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РАСХОДЫ</w:t>
      </w:r>
    </w:p>
    <w:p w:rsidR="00815B84" w:rsidRDefault="00815B84" w:rsidP="00815B84">
      <w:pPr>
        <w:tabs>
          <w:tab w:val="left" w:pos="3443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B525F3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 раздел</w:t>
      </w:r>
      <w:r w:rsidR="00B525F3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0100 Общегосударственные вопросы, подраздела 0104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</w:t>
      </w:r>
      <w:r w:rsidR="00B525F3">
        <w:rPr>
          <w:rFonts w:ascii="Arial" w:hAnsi="Arial" w:cs="Arial"/>
          <w:sz w:val="24"/>
          <w:szCs w:val="24"/>
        </w:rPr>
        <w:t>министраций  перенесена сумма 450000,00 (Четыреста пятьдесят тысяч руб.)00 коп</w:t>
      </w:r>
      <w:proofErr w:type="gramStart"/>
      <w:r w:rsidR="00B525F3">
        <w:rPr>
          <w:rFonts w:ascii="Arial" w:hAnsi="Arial" w:cs="Arial"/>
          <w:sz w:val="24"/>
          <w:szCs w:val="24"/>
        </w:rPr>
        <w:t>.</w:t>
      </w:r>
      <w:proofErr w:type="gramEnd"/>
      <w:r w:rsidR="00B525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525F3">
        <w:rPr>
          <w:rFonts w:ascii="Arial" w:hAnsi="Arial" w:cs="Arial"/>
          <w:sz w:val="24"/>
          <w:szCs w:val="24"/>
        </w:rPr>
        <w:t>н</w:t>
      </w:r>
      <w:proofErr w:type="gramEnd"/>
      <w:r w:rsidR="00B525F3">
        <w:rPr>
          <w:rFonts w:ascii="Arial" w:hAnsi="Arial" w:cs="Arial"/>
          <w:sz w:val="24"/>
          <w:szCs w:val="24"/>
        </w:rPr>
        <w:t>а раздел подраздел 0801 «Культура». Данные средства будут направлены на приобретение жилого дома МБУК «СКЦ Ангара» МО «Буреть»</w:t>
      </w:r>
    </w:p>
    <w:p w:rsidR="00B525F3" w:rsidRDefault="00B525F3" w:rsidP="00815B84">
      <w:pPr>
        <w:tabs>
          <w:tab w:val="left" w:pos="3443"/>
        </w:tabs>
        <w:jc w:val="center"/>
        <w:rPr>
          <w:rFonts w:ascii="Arial" w:hAnsi="Arial" w:cs="Arial"/>
          <w:sz w:val="24"/>
          <w:szCs w:val="24"/>
        </w:rPr>
      </w:pPr>
    </w:p>
    <w:p w:rsidR="00B525F3" w:rsidRPr="00B525F3" w:rsidRDefault="00B525F3" w:rsidP="00B525F3">
      <w:pPr>
        <w:rPr>
          <w:rFonts w:ascii="Arial" w:hAnsi="Arial" w:cs="Arial"/>
          <w:sz w:val="24"/>
          <w:szCs w:val="24"/>
        </w:rPr>
      </w:pPr>
    </w:p>
    <w:p w:rsidR="00B525F3" w:rsidRDefault="00B525F3" w:rsidP="00B525F3">
      <w:pPr>
        <w:rPr>
          <w:rFonts w:ascii="Arial" w:hAnsi="Arial" w:cs="Arial"/>
          <w:sz w:val="24"/>
          <w:szCs w:val="24"/>
        </w:rPr>
      </w:pPr>
    </w:p>
    <w:p w:rsidR="00815B84" w:rsidRPr="00B525F3" w:rsidRDefault="00B525F3" w:rsidP="00B525F3">
      <w:pPr>
        <w:tabs>
          <w:tab w:val="left" w:pos="7363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</w:t>
      </w:r>
      <w:r>
        <w:rPr>
          <w:rFonts w:ascii="Arial" w:hAnsi="Arial" w:cs="Arial"/>
          <w:sz w:val="24"/>
          <w:szCs w:val="24"/>
        </w:rPr>
        <w:tab/>
        <w:t>В.Л. Кравцова</w:t>
      </w:r>
    </w:p>
    <w:sectPr w:rsidR="00815B84" w:rsidRPr="00B525F3" w:rsidSect="00D37406">
      <w:pgSz w:w="11906" w:h="16838"/>
      <w:pgMar w:top="1135" w:right="992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30A" w:rsidRDefault="0048030A" w:rsidP="00A34359">
      <w:pPr>
        <w:spacing w:after="0" w:line="240" w:lineRule="auto"/>
      </w:pPr>
      <w:r>
        <w:separator/>
      </w:r>
    </w:p>
  </w:endnote>
  <w:endnote w:type="continuationSeparator" w:id="0">
    <w:p w:rsidR="0048030A" w:rsidRDefault="0048030A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30A" w:rsidRDefault="0048030A" w:rsidP="00A34359">
      <w:pPr>
        <w:spacing w:after="0" w:line="240" w:lineRule="auto"/>
      </w:pPr>
      <w:r>
        <w:separator/>
      </w:r>
    </w:p>
  </w:footnote>
  <w:footnote w:type="continuationSeparator" w:id="0">
    <w:p w:rsidR="0048030A" w:rsidRDefault="0048030A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12A30"/>
    <w:rsid w:val="0002170E"/>
    <w:rsid w:val="00025C41"/>
    <w:rsid w:val="00034681"/>
    <w:rsid w:val="00054C01"/>
    <w:rsid w:val="00065578"/>
    <w:rsid w:val="00091B41"/>
    <w:rsid w:val="000A1C00"/>
    <w:rsid w:val="000B573B"/>
    <w:rsid w:val="000C1FCE"/>
    <w:rsid w:val="000C4B08"/>
    <w:rsid w:val="000D0390"/>
    <w:rsid w:val="000D4741"/>
    <w:rsid w:val="000F306F"/>
    <w:rsid w:val="000F7D88"/>
    <w:rsid w:val="00100384"/>
    <w:rsid w:val="0012599D"/>
    <w:rsid w:val="001402D5"/>
    <w:rsid w:val="00164DDF"/>
    <w:rsid w:val="00191AF6"/>
    <w:rsid w:val="0019446C"/>
    <w:rsid w:val="001B3DB6"/>
    <w:rsid w:val="001C46D8"/>
    <w:rsid w:val="001D4110"/>
    <w:rsid w:val="001F168C"/>
    <w:rsid w:val="0021088B"/>
    <w:rsid w:val="00221546"/>
    <w:rsid w:val="00221E61"/>
    <w:rsid w:val="00224380"/>
    <w:rsid w:val="00242571"/>
    <w:rsid w:val="00274AFE"/>
    <w:rsid w:val="00281341"/>
    <w:rsid w:val="002A4783"/>
    <w:rsid w:val="002C10E6"/>
    <w:rsid w:val="002D48A1"/>
    <w:rsid w:val="003017BD"/>
    <w:rsid w:val="0030269B"/>
    <w:rsid w:val="00310F2F"/>
    <w:rsid w:val="0034195D"/>
    <w:rsid w:val="00341B80"/>
    <w:rsid w:val="00356ED7"/>
    <w:rsid w:val="00377DAF"/>
    <w:rsid w:val="0039451E"/>
    <w:rsid w:val="00395018"/>
    <w:rsid w:val="00396E52"/>
    <w:rsid w:val="003B2F34"/>
    <w:rsid w:val="003C4052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8030A"/>
    <w:rsid w:val="004B7D1D"/>
    <w:rsid w:val="004D3C6D"/>
    <w:rsid w:val="00501F1F"/>
    <w:rsid w:val="00524B9C"/>
    <w:rsid w:val="005308B5"/>
    <w:rsid w:val="00530B3D"/>
    <w:rsid w:val="00554880"/>
    <w:rsid w:val="005579BC"/>
    <w:rsid w:val="005A7001"/>
    <w:rsid w:val="005A7D6F"/>
    <w:rsid w:val="005E0E13"/>
    <w:rsid w:val="005E6BB1"/>
    <w:rsid w:val="005F0701"/>
    <w:rsid w:val="005F0759"/>
    <w:rsid w:val="005F78DE"/>
    <w:rsid w:val="00612D7D"/>
    <w:rsid w:val="00612DD2"/>
    <w:rsid w:val="00621221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5B92"/>
    <w:rsid w:val="006F34C6"/>
    <w:rsid w:val="007066F7"/>
    <w:rsid w:val="007117D5"/>
    <w:rsid w:val="00721D82"/>
    <w:rsid w:val="00725736"/>
    <w:rsid w:val="00733692"/>
    <w:rsid w:val="00735F6F"/>
    <w:rsid w:val="00746B1F"/>
    <w:rsid w:val="00750300"/>
    <w:rsid w:val="007627FD"/>
    <w:rsid w:val="00765444"/>
    <w:rsid w:val="00766452"/>
    <w:rsid w:val="0078279F"/>
    <w:rsid w:val="00783CDA"/>
    <w:rsid w:val="00785CBB"/>
    <w:rsid w:val="00785EC5"/>
    <w:rsid w:val="00785F6D"/>
    <w:rsid w:val="007A3290"/>
    <w:rsid w:val="007A67E2"/>
    <w:rsid w:val="007D4FD2"/>
    <w:rsid w:val="008000FA"/>
    <w:rsid w:val="008011BC"/>
    <w:rsid w:val="00804AD8"/>
    <w:rsid w:val="00814B91"/>
    <w:rsid w:val="00815B84"/>
    <w:rsid w:val="008237AF"/>
    <w:rsid w:val="0082521D"/>
    <w:rsid w:val="008418D3"/>
    <w:rsid w:val="00850A34"/>
    <w:rsid w:val="0086553D"/>
    <w:rsid w:val="00865D02"/>
    <w:rsid w:val="00872577"/>
    <w:rsid w:val="00884301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643E8"/>
    <w:rsid w:val="009930BE"/>
    <w:rsid w:val="009A2DD3"/>
    <w:rsid w:val="009E2DBB"/>
    <w:rsid w:val="009E2FA8"/>
    <w:rsid w:val="009E3627"/>
    <w:rsid w:val="009F0934"/>
    <w:rsid w:val="00A05655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2A1C"/>
    <w:rsid w:val="00AA1927"/>
    <w:rsid w:val="00AC6CC1"/>
    <w:rsid w:val="00AE1877"/>
    <w:rsid w:val="00B02C00"/>
    <w:rsid w:val="00B33F82"/>
    <w:rsid w:val="00B4414B"/>
    <w:rsid w:val="00B44C66"/>
    <w:rsid w:val="00B525F3"/>
    <w:rsid w:val="00B63417"/>
    <w:rsid w:val="00B768D3"/>
    <w:rsid w:val="00B83554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968D7"/>
    <w:rsid w:val="00CB67DA"/>
    <w:rsid w:val="00CB738D"/>
    <w:rsid w:val="00CF16D9"/>
    <w:rsid w:val="00D052DC"/>
    <w:rsid w:val="00D154C8"/>
    <w:rsid w:val="00D2078D"/>
    <w:rsid w:val="00D319A3"/>
    <w:rsid w:val="00D322D3"/>
    <w:rsid w:val="00D37406"/>
    <w:rsid w:val="00D42DCC"/>
    <w:rsid w:val="00D52018"/>
    <w:rsid w:val="00D655CF"/>
    <w:rsid w:val="00D813F4"/>
    <w:rsid w:val="00D90BBC"/>
    <w:rsid w:val="00D90F89"/>
    <w:rsid w:val="00D93FE4"/>
    <w:rsid w:val="00DA6535"/>
    <w:rsid w:val="00DB5B86"/>
    <w:rsid w:val="00DC342E"/>
    <w:rsid w:val="00DC40F3"/>
    <w:rsid w:val="00DD5E74"/>
    <w:rsid w:val="00DF48C2"/>
    <w:rsid w:val="00E1661F"/>
    <w:rsid w:val="00E22FED"/>
    <w:rsid w:val="00E253A0"/>
    <w:rsid w:val="00E37C32"/>
    <w:rsid w:val="00E439E6"/>
    <w:rsid w:val="00E6423E"/>
    <w:rsid w:val="00E6579F"/>
    <w:rsid w:val="00E834DE"/>
    <w:rsid w:val="00EC59E6"/>
    <w:rsid w:val="00ED5C79"/>
    <w:rsid w:val="00EE0510"/>
    <w:rsid w:val="00EF4520"/>
    <w:rsid w:val="00F05D1F"/>
    <w:rsid w:val="00F11811"/>
    <w:rsid w:val="00F12F50"/>
    <w:rsid w:val="00F2662E"/>
    <w:rsid w:val="00F4259C"/>
    <w:rsid w:val="00F54912"/>
    <w:rsid w:val="00F8441F"/>
    <w:rsid w:val="00F918D2"/>
    <w:rsid w:val="00FB0A55"/>
    <w:rsid w:val="00FB35F2"/>
    <w:rsid w:val="00FC6AAF"/>
    <w:rsid w:val="00FD68A5"/>
    <w:rsid w:val="00FD6D4F"/>
    <w:rsid w:val="00FE473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AB61-794D-44B9-BAAF-33C264ADE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1451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3</cp:revision>
  <cp:lastPrinted>2019-05-23T01:33:00Z</cp:lastPrinted>
  <dcterms:created xsi:type="dcterms:W3CDTF">2019-05-23T02:12:00Z</dcterms:created>
  <dcterms:modified xsi:type="dcterms:W3CDTF">2019-08-12T06:50:00Z</dcterms:modified>
</cp:coreProperties>
</file>